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645BE0" w:rsidRPr="00645BE0" w:rsidTr="00B13D6B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45BE0" w:rsidRPr="00645BE0" w:rsidRDefault="00645BE0" w:rsidP="00645BE0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  <w:lang w:val="ru-RU" w:eastAsia="ru-RU"/>
              </w:rPr>
            </w:pPr>
            <w:r w:rsidRPr="00645BE0">
              <w:rPr>
                <w:rFonts w:ascii="Times New Roman" w:hAnsi="Times New Roman"/>
                <w:b w:val="0"/>
                <w:caps/>
                <w:spacing w:val="0"/>
                <w:szCs w:val="24"/>
                <w:lang w:val="ru-RU" w:eastAsia="ru-RU"/>
              </w:rPr>
              <w:t>Исполнительный комитет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АПАЗОВСКОГО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45BE0" w:rsidRPr="00645BE0" w:rsidRDefault="00645BE0" w:rsidP="00645BE0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  <w:lang w:val="ru-RU" w:eastAsia="ru-RU"/>
              </w:rPr>
            </w:pPr>
            <w:r w:rsidRPr="00645BE0">
              <w:rPr>
                <w:rFonts w:ascii="Times New Roman" w:hAnsi="Times New Roman"/>
                <w:b w:val="0"/>
                <w:caps/>
                <w:spacing w:val="-18"/>
                <w:szCs w:val="24"/>
                <w:lang w:val="ru-RU" w:eastAsia="ru-RU"/>
              </w:rPr>
              <w:t>Арского муниципального района</w:t>
            </w:r>
          </w:p>
          <w:p w:rsidR="00645BE0" w:rsidRPr="00645BE0" w:rsidRDefault="00645BE0" w:rsidP="00645BE0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  <w:lang w:val="ru-RU" w:eastAsia="ru-RU"/>
              </w:rPr>
            </w:pPr>
            <w:r w:rsidRPr="00645BE0">
              <w:rPr>
                <w:rFonts w:ascii="Times New Roman" w:hAnsi="Times New Roman"/>
                <w:b w:val="0"/>
                <w:caps/>
                <w:sz w:val="24"/>
                <w:szCs w:val="24"/>
                <w:lang w:val="ru-RU" w:eastAsia="ru-RU"/>
              </w:rPr>
              <w:t>РЕСПУБЛИКИ ТАТАРСТАН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 xml:space="preserve">, д. 18, </w:t>
            </w:r>
            <w:proofErr w:type="spellStart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с.Апазово</w:t>
            </w:r>
            <w:proofErr w:type="spellEnd"/>
            <w:r w:rsidRPr="00645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район, 422006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BE0" w:rsidRPr="00645BE0" w:rsidRDefault="00645BE0" w:rsidP="00645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BE0" w:rsidRPr="00645BE0" w:rsidRDefault="00645BE0" w:rsidP="00645BE0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</w:pPr>
            <w:r w:rsidRPr="00645BE0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  <w:lang w:val="ru-RU" w:eastAsia="ru-RU"/>
              </w:rPr>
              <w:t>ТАТАРСТАН РЕСПУБЛИКАСЫ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caps/>
                <w:sz w:val="24"/>
                <w:szCs w:val="24"/>
              </w:rPr>
              <w:t>АПАЗ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caps/>
                <w:sz w:val="24"/>
                <w:szCs w:val="24"/>
              </w:rPr>
              <w:t>авыл җирлеге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башкарма комитеты 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урамы</w:t>
            </w:r>
            <w:proofErr w:type="spellEnd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йорт</w:t>
            </w:r>
            <w:proofErr w:type="spellEnd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Апаз</w:t>
            </w:r>
            <w:proofErr w:type="spellEnd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авылы</w:t>
            </w:r>
            <w:proofErr w:type="spellEnd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</w:t>
            </w:r>
            <w:proofErr w:type="spellEnd"/>
            <w:r w:rsidRPr="00645B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645BE0" w:rsidRPr="00645BE0" w:rsidTr="00B13D6B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45BE0" w:rsidRPr="00645BE0" w:rsidRDefault="00645BE0" w:rsidP="00645B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645B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645BE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. (84366)94-2-37, </w:t>
            </w:r>
            <w:r w:rsidRPr="00645BE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645BE0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(84366)94-2-37. E-mail: Apaz.Ars@tatar.ru</w:t>
            </w:r>
          </w:p>
        </w:tc>
      </w:tr>
    </w:tbl>
    <w:p w:rsidR="00645BE0" w:rsidRPr="00645BE0" w:rsidRDefault="00645BE0" w:rsidP="00645BE0">
      <w:pPr>
        <w:spacing w:after="0" w:line="240" w:lineRule="auto"/>
        <w:rPr>
          <w:rFonts w:ascii="Times New Roman" w:hAnsi="Times New Roman" w:cs="Times New Roman"/>
          <w:b/>
          <w:color w:val="808080"/>
          <w:sz w:val="24"/>
          <w:szCs w:val="24"/>
          <w:lang w:val="en-US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639"/>
      </w:tblGrid>
      <w:tr w:rsidR="00025D8C" w:rsidRPr="00025D8C" w:rsidTr="00645BE0">
        <w:tc>
          <w:tcPr>
            <w:tcW w:w="5106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639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КАРАР</w:t>
            </w:r>
          </w:p>
        </w:tc>
      </w:tr>
    </w:tbl>
    <w:p w:rsidR="00025D8C" w:rsidRPr="00025D8C" w:rsidRDefault="00025D8C" w:rsidP="00025D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559"/>
        <w:gridCol w:w="1134"/>
        <w:gridCol w:w="3402"/>
        <w:gridCol w:w="709"/>
        <w:gridCol w:w="992"/>
      </w:tblGrid>
      <w:tr w:rsidR="00025D8C" w:rsidRPr="00025D8C" w:rsidTr="00645BE0">
        <w:tc>
          <w:tcPr>
            <w:tcW w:w="534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от</w:t>
            </w:r>
          </w:p>
        </w:tc>
        <w:tc>
          <w:tcPr>
            <w:tcW w:w="283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025D8C" w:rsidRDefault="00645BE0" w:rsidP="00025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24</w:t>
            </w:r>
          </w:p>
        </w:tc>
        <w:tc>
          <w:tcPr>
            <w:tcW w:w="284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025D8C" w:rsidRDefault="00645BE0" w:rsidP="00025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марта</w:t>
            </w:r>
          </w:p>
        </w:tc>
        <w:tc>
          <w:tcPr>
            <w:tcW w:w="1134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2020г.</w:t>
            </w:r>
          </w:p>
        </w:tc>
        <w:tc>
          <w:tcPr>
            <w:tcW w:w="3402" w:type="dxa"/>
          </w:tcPr>
          <w:p w:rsidR="00025D8C" w:rsidRPr="00025D8C" w:rsidRDefault="00025D8C" w:rsidP="00025D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709" w:type="dxa"/>
          </w:tcPr>
          <w:p w:rsidR="00025D8C" w:rsidRPr="00025D8C" w:rsidRDefault="00645BE0" w:rsidP="00025D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  </w:t>
            </w:r>
            <w:r w:rsidR="00025D8C" w:rsidRPr="00025D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8C" w:rsidRPr="00025D8C" w:rsidRDefault="00645BE0" w:rsidP="00025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9</w:t>
            </w:r>
          </w:p>
        </w:tc>
      </w:tr>
    </w:tbl>
    <w:p w:rsidR="00025D8C" w:rsidRPr="00025D8C" w:rsidRDefault="00025D8C" w:rsidP="00025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D8C" w:rsidRPr="00025D8C" w:rsidRDefault="00025D8C" w:rsidP="00025D8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tabs>
          <w:tab w:val="left" w:pos="5387"/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D8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="005525B7">
        <w:rPr>
          <w:rFonts w:ascii="Times New Roman" w:hAnsi="Times New Roman" w:cs="Times New Roman"/>
          <w:b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Арского муниципального района Республики Татарстан в 2020 году</w:t>
      </w:r>
    </w:p>
    <w:p w:rsidR="00025D8C" w:rsidRPr="00025D8C" w:rsidRDefault="00025D8C" w:rsidP="00025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В соответствии со статьей 174</w:t>
      </w:r>
      <w:r w:rsidRPr="00025D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25D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 Исполнительный комитет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ПОСТАНОВЛЯЕТ:</w:t>
      </w:r>
    </w:p>
    <w:p w:rsidR="00025D8C" w:rsidRPr="00025D8C" w:rsidRDefault="00025D8C" w:rsidP="00025D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формирования перечня налоговых расходов, и порядок проведения оценки налоговых расходов </w:t>
      </w:r>
      <w:proofErr w:type="spellStart"/>
      <w:r w:rsidR="00552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в 2020 году.</w:t>
      </w:r>
    </w:p>
    <w:p w:rsidR="00025D8C" w:rsidRPr="00025D8C" w:rsidRDefault="00025D8C" w:rsidP="00025D8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Предложить Управлению Федеральной налоговой службы по Республике Татарстан до 1 сентября направить в исполнительный комитет </w:t>
      </w:r>
      <w:proofErr w:type="spellStart"/>
      <w:r w:rsidR="00552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Апазовского</w:t>
      </w:r>
      <w:proofErr w:type="spellEnd"/>
      <w:r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 сведения за отчетный год, за год, предшествующий отчетному году: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025D8C" w:rsidRDefault="00025D8C" w:rsidP="00025D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по каждому налоговому расходу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Татарстан.</w:t>
      </w:r>
    </w:p>
    <w:p w:rsidR="008316B5" w:rsidRPr="008316B5" w:rsidRDefault="008316B5" w:rsidP="008316B5">
      <w:pPr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8316B5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 настоящее постановление на «Официальном портале правовой информации Республики Татарстан» (</w:t>
      </w:r>
      <w:hyperlink r:id="rId5" w:history="1">
        <w:r w:rsidRPr="008316B5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http://pravo.tatarstan.ru/</w:t>
        </w:r>
      </w:hyperlink>
      <w:r w:rsidRPr="008316B5">
        <w:rPr>
          <w:rFonts w:ascii="Times New Roman" w:eastAsia="Calibri" w:hAnsi="Times New Roman" w:cs="Times New Roman"/>
          <w:color w:val="000000"/>
          <w:sz w:val="28"/>
          <w:szCs w:val="28"/>
        </w:rPr>
        <w:t>) и обнародовать путем размещения на официальном сайте Арского муниципального района (</w:t>
      </w:r>
      <w:hyperlink r:id="rId6" w:history="1">
        <w:r w:rsidRPr="008316B5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http://arsk.tatarstan.ru/</w:t>
        </w:r>
      </w:hyperlink>
      <w:r w:rsidRPr="008316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316B5" w:rsidRPr="00025D8C" w:rsidRDefault="008316B5" w:rsidP="00025D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25D8C" w:rsidRPr="00025D8C" w:rsidRDefault="008316B5" w:rsidP="00025D8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4</w:t>
      </w:r>
      <w:r w:rsidR="00025D8C" w:rsidRPr="00025D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 Настоящее постановление вступает в силу со дня его официального опубликования. </w:t>
      </w:r>
    </w:p>
    <w:p w:rsidR="00025D8C" w:rsidRPr="00025D8C" w:rsidRDefault="008316B5" w:rsidP="00025D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25D8C" w:rsidRPr="00025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="00025D8C"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25D8C" w:rsidRPr="00025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5BE0" w:rsidRDefault="00645BE0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right="43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5BE0" w:rsidRDefault="005525B7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Апазовского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</w:t>
      </w:r>
      <w:r w:rsidR="006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proofErr w:type="spellStart"/>
      <w:r w:rsidR="006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Р.Ш.Садиков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5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16B5" w:rsidRDefault="008316B5" w:rsidP="00645BE0">
      <w:pPr>
        <w:widowControl w:val="0"/>
        <w:tabs>
          <w:tab w:val="left" w:pos="68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25B7" w:rsidRDefault="005525B7" w:rsidP="00025D8C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5D8C" w:rsidRPr="00025D8C" w:rsidRDefault="00645BE0" w:rsidP="00025D8C">
      <w:pPr>
        <w:spacing w:after="0" w:line="240" w:lineRule="auto"/>
        <w:ind w:left="7092" w:firstLine="6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25D8C" w:rsidRPr="00025D8C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25D8C" w:rsidRPr="00025D8C" w:rsidRDefault="00025D8C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D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025D8C" w:rsidRPr="00025D8C" w:rsidRDefault="00025D8C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D8C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25D8C" w:rsidRPr="00025D8C" w:rsidRDefault="005525B7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Апазовского</w:t>
      </w:r>
      <w:proofErr w:type="spellEnd"/>
      <w:r w:rsidR="00025D8C" w:rsidRPr="00025D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25D8C" w:rsidRPr="00025D8C" w:rsidRDefault="00025D8C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D8C">
        <w:rPr>
          <w:rFonts w:ascii="Times New Roman" w:hAnsi="Times New Roman" w:cs="Times New Roman"/>
          <w:sz w:val="24"/>
          <w:szCs w:val="24"/>
        </w:rPr>
        <w:t xml:space="preserve">Арского муниципального района </w:t>
      </w:r>
    </w:p>
    <w:p w:rsidR="00025D8C" w:rsidRPr="00025D8C" w:rsidRDefault="00025D8C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5D8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25D8C" w:rsidRPr="00025D8C" w:rsidRDefault="005525B7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5D8C" w:rsidRPr="00025D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24 марта </w:t>
      </w:r>
      <w:r w:rsidR="00025D8C" w:rsidRPr="00025D8C">
        <w:rPr>
          <w:rFonts w:ascii="Times New Roman" w:hAnsi="Times New Roman" w:cs="Times New Roman"/>
          <w:sz w:val="24"/>
          <w:szCs w:val="24"/>
        </w:rPr>
        <w:t xml:space="preserve">2020г.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5D8C" w:rsidRPr="00025D8C" w:rsidRDefault="00025D8C" w:rsidP="00025D8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8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D8C" w:rsidRPr="00025D8C" w:rsidRDefault="00025D8C" w:rsidP="00025D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 проведения</w:t>
      </w:r>
    </w:p>
    <w:p w:rsidR="00025D8C" w:rsidRPr="00025D8C" w:rsidRDefault="00025D8C" w:rsidP="00025D8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</w:t>
      </w:r>
      <w:r w:rsidRPr="00025D8C">
        <w:rPr>
          <w:rFonts w:ascii="Times New Roman" w:hAnsi="Times New Roman" w:cs="Times New Roman"/>
          <w:sz w:val="24"/>
          <w:szCs w:val="24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>в 2020 году</w:t>
      </w:r>
    </w:p>
    <w:p w:rsidR="00025D8C" w:rsidRPr="00025D8C" w:rsidRDefault="00025D8C" w:rsidP="00025D8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D8C" w:rsidRPr="00025D8C" w:rsidRDefault="00025D8C" w:rsidP="00025D8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8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5D8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25D8C" w:rsidRPr="00025D8C" w:rsidRDefault="00025D8C" w:rsidP="00025D8C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правила формирования перечня налоговых расходов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 и оценки налоговых расходов</w:t>
      </w:r>
      <w:r w:rsidR="00552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5B7">
        <w:rPr>
          <w:rFonts w:ascii="Times New Roman" w:hAnsi="Times New Roman" w:cs="Times New Roman"/>
          <w:sz w:val="28"/>
          <w:szCs w:val="28"/>
        </w:rPr>
        <w:t>Апазовского</w:t>
      </w:r>
      <w:proofErr w:type="spellEnd"/>
      <w:r w:rsidR="005525B7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 сельского поселения Арского муниципального района Республики Татарстан (далее – Порядок, муниципальное  образование).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2. В настоящем Порядке используются термины и понятия, установленные</w:t>
      </w:r>
      <w:r w:rsidRPr="00025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постановлением 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>Российской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от 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22 </w:t>
      </w:r>
      <w:r w:rsidR="00482F55">
        <w:rPr>
          <w:rFonts w:ascii="Times New Roman" w:hAnsi="Times New Roman" w:cs="Times New Roman"/>
          <w:sz w:val="28"/>
          <w:szCs w:val="28"/>
        </w:rPr>
        <w:t xml:space="preserve"> </w:t>
      </w:r>
      <w:r w:rsidRPr="00025D8C">
        <w:rPr>
          <w:rFonts w:ascii="Times New Roman" w:hAnsi="Times New Roman" w:cs="Times New Roman"/>
          <w:sz w:val="28"/>
          <w:szCs w:val="28"/>
        </w:rPr>
        <w:t xml:space="preserve">июня 2019 г. № 796 «Об общих требованиях к оценке налоговых расходов субъектов Российской Федерации и муниципальных образований» (далее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>бщие требования).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025D8C">
        <w:rPr>
          <w:rFonts w:ascii="Times New Roman" w:hAnsi="Times New Roman" w:cs="Times New Roman"/>
          <w:sz w:val="24"/>
          <w:szCs w:val="24"/>
        </w:rPr>
        <w:t>3</w:t>
      </w:r>
      <w:r w:rsidRPr="00025D8C">
        <w:rPr>
          <w:rFonts w:ascii="Times New Roman" w:hAnsi="Times New Roman" w:cs="Times New Roman"/>
          <w:sz w:val="28"/>
          <w:szCs w:val="28"/>
        </w:rPr>
        <w:t>. Отнесение налоговых расходов муниципального образования к муниципальным программам осуществляется исходя из целей муниципальных программ, структурных элементов муниципальных программ и (или) целей социально-экономической политики муниципального образования, не относящихся к муниципальным программам.</w:t>
      </w:r>
    </w:p>
    <w:bookmarkEnd w:id="0"/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4. В целях оценки налоговых расходов муниципального образования исполнительный комитет муниципального образования: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осуществляет анализ и обобщение результатов оценки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25D8C" w:rsidRPr="00025D8C" w:rsidRDefault="00025D8C" w:rsidP="00025D8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5D8C">
        <w:rPr>
          <w:rFonts w:ascii="Times New Roman" w:hAnsi="Times New Roman" w:cs="Times New Roman"/>
          <w:b/>
          <w:sz w:val="28"/>
          <w:szCs w:val="28"/>
        </w:rPr>
        <w:t>. Формирование перечня налоговых расходов муниципального образования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5. Перечень налоговых расходов муниципального образования на очередной финансовый год и плановый период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формируется исполнительным комитетом муниципального образования и утверждается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до 1 июня текущего года.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lastRenderedPageBreak/>
        <w:t>6. Утвержденный Перечень налоговых расходов муниципального образования  размещается на официальном сайте муниципального образования не позднее  1 июля текущего года.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 Управление Федеральной налоговой службы по Республике Татарстан представляет в исполнительный комитет муниципального образования информацию о фискальных характеристиках налоговых расходов муниципального образования за отчетный финансовый год и за год, предшествующий отчетному.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8. В целях проведения оценки налоговых расходов муниципального образования исполнительный комитет муниципального образования ежегодно, до 1 августа, направляет в Управление Федеральной налоговой службы по Республике Татарстан сведения о категориях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7" w:history="1">
        <w:r w:rsidRPr="00025D8C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025D8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9. 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исполнительный комитет муниципального образования в течение 10 рабочих дней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в силу соответствующего нормативного правового акта, вносит соответствующие изменения в Перечень налоговых расходов муниципального образования.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55"/>
      <w:bookmarkEnd w:id="2"/>
      <w:r w:rsidRPr="00025D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5D8C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 муниципального образования.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10. Оценка налоговых расходов осуществляется исполнительным комитетом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 и включает: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-оценку объемов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-оценку эффективности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11. Оценка эффективности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 включает: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- оценку целесообразности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- оценку результативности налоговых расходов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 xml:space="preserve">12. Критериями целесообразности налоговых расходов </w:t>
      </w:r>
      <w:proofErr w:type="gramStart"/>
      <w:r w:rsidRPr="00025D8C">
        <w:rPr>
          <w:rFonts w:ascii="Times New Roman" w:eastAsia="Calibri" w:hAnsi="Times New Roman" w:cs="Times New Roman"/>
          <w:sz w:val="28"/>
        </w:rPr>
        <w:t>муниципального</w:t>
      </w:r>
      <w:proofErr w:type="gramEnd"/>
      <w:r w:rsidRPr="00025D8C">
        <w:rPr>
          <w:rFonts w:ascii="Times New Roman" w:eastAsia="Calibri" w:hAnsi="Times New Roman" w:cs="Times New Roman"/>
          <w:sz w:val="28"/>
        </w:rPr>
        <w:t xml:space="preserve"> образования являются: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025D8C">
        <w:rPr>
          <w:rFonts w:ascii="Times New Roman" w:hAnsi="Times New Roman" w:cs="Times New Roman"/>
          <w:sz w:val="28"/>
          <w:szCs w:val="28"/>
        </w:rPr>
        <w:t>,</w:t>
      </w:r>
      <w:r w:rsidRPr="00025D8C">
        <w:rPr>
          <w:rFonts w:ascii="Times New Roman" w:eastAsia="Calibri" w:hAnsi="Times New Roman" w:cs="Times New Roman"/>
          <w:sz w:val="28"/>
        </w:rPr>
        <w:t xml:space="preserve"> 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lastRenderedPageBreak/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период.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Pr="00025D8C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025D8C">
        <w:rPr>
          <w:rFonts w:ascii="Times New Roman" w:eastAsia="Calibri" w:hAnsi="Times New Roman" w:cs="Times New Roman"/>
          <w:sz w:val="28"/>
        </w:rPr>
        <w:t>надлежит представить предложения о сохранении (уточнении, отмене)  льгот для плательщиков.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13. </w:t>
      </w:r>
      <w:proofErr w:type="gramStart"/>
      <w:r w:rsidRPr="00025D8C">
        <w:rPr>
          <w:rFonts w:ascii="Times New Roman" w:eastAsia="Calibri" w:hAnsi="Times New Roman" w:cs="Times New Roman"/>
          <w:sz w:val="28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proofErr w:type="gramEnd"/>
      <w:r w:rsidRPr="00025D8C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Pr="00025D8C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Pr="00025D8C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25D8C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14.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15. </w:t>
      </w:r>
      <w:proofErr w:type="gramStart"/>
      <w:r w:rsidRPr="00025D8C">
        <w:rPr>
          <w:rFonts w:ascii="Times New Roman" w:eastAsia="Calibri" w:hAnsi="Times New Roman" w:cs="Times New Roman"/>
          <w:sz w:val="28"/>
        </w:rPr>
        <w:t>В целях проведения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16. </w:t>
      </w:r>
      <w:proofErr w:type="gramStart"/>
      <w:r w:rsidRPr="00025D8C">
        <w:rPr>
          <w:rFonts w:ascii="Times New Roman" w:eastAsia="Calibri" w:hAnsi="Times New Roman" w:cs="Times New Roman"/>
          <w:sz w:val="28"/>
        </w:rPr>
        <w:t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и объёмом предоставленных льгот 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proofErr w:type="gramEnd"/>
      <w:r w:rsidRPr="00025D8C">
        <w:rPr>
          <w:rFonts w:ascii="Times New Roman" w:eastAsia="Calibri" w:hAnsi="Times New Roman" w:cs="Times New Roman"/>
          <w:sz w:val="28"/>
        </w:rPr>
        <w:t xml:space="preserve">, на 1 рубль налоговых расходов муниципальных программ муниципального образования и на 1 рубль расходов бюджета муниципального образования для </w:t>
      </w:r>
      <w:r w:rsidRPr="00025D8C">
        <w:rPr>
          <w:rFonts w:ascii="Times New Roman" w:eastAsia="Calibri" w:hAnsi="Times New Roman" w:cs="Times New Roman"/>
          <w:sz w:val="28"/>
        </w:rPr>
        <w:lastRenderedPageBreak/>
        <w:t xml:space="preserve">достижения того же показателя (индикатора) в случае применения альтернативных механизмов). 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25D8C">
        <w:rPr>
          <w:rFonts w:ascii="Times New Roman" w:eastAsia="Calibri" w:hAnsi="Times New Roman" w:cs="Times New Roman"/>
          <w:sz w:val="28"/>
        </w:rPr>
        <w:t>В качестве альтернативных механизмов достижения целей муниципальной программы муниципального образования и (или) целей социально-экономической политики муниципального образования, не относящихся к муниципальным программам, муниципального образования могут учитываться в том числе:</w:t>
      </w:r>
      <w:proofErr w:type="gramEnd"/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образования;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б) предоставление муниципальных гарантий по обязательствам плательщиков, имеющих право на льготы;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025D8C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17. Оценка налоговых расходов муниципального образования 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>осуществляется до 1 ок</w:t>
      </w:r>
      <w:r w:rsidR="005525B7">
        <w:rPr>
          <w:rFonts w:ascii="Times New Roman" w:hAnsi="Times New Roman" w:cs="Times New Roman"/>
          <w:sz w:val="28"/>
          <w:szCs w:val="28"/>
        </w:rPr>
        <w:t>т</w:t>
      </w:r>
      <w:r w:rsidRPr="00025D8C">
        <w:rPr>
          <w:rFonts w:ascii="Times New Roman" w:hAnsi="Times New Roman" w:cs="Times New Roman"/>
          <w:sz w:val="28"/>
          <w:szCs w:val="28"/>
        </w:rPr>
        <w:t>ября и содержит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>: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- информацию по Перечню показателей для проведения оценки налоговых расходов;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 xml:space="preserve"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политики; 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- предложения о наличии (отсутствии) более результативных альтернативных механизмов их достижения;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025D8C" w:rsidRPr="00025D8C" w:rsidRDefault="00025D8C" w:rsidP="00025D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D8C">
        <w:rPr>
          <w:rFonts w:ascii="Times New Roman" w:hAnsi="Times New Roman" w:cs="Times New Roman"/>
          <w:sz w:val="28"/>
          <w:szCs w:val="28"/>
        </w:rPr>
        <w:t>18. 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</w:t>
      </w:r>
      <w:proofErr w:type="gramStart"/>
      <w:r w:rsidRPr="00025D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5D8C">
        <w:rPr>
          <w:rFonts w:ascii="Times New Roman" w:hAnsi="Times New Roman" w:cs="Times New Roman"/>
          <w:sz w:val="28"/>
          <w:szCs w:val="28"/>
        </w:rPr>
        <w:t xml:space="preserve"> а также при проведении оценки эффективности реализации муниципальных программ.</w:t>
      </w: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025D8C" w:rsidRPr="00025D8C" w:rsidRDefault="00025D8C" w:rsidP="00025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025D8C" w:rsidRDefault="00025D8C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5525B7" w:rsidRDefault="005525B7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5525B7" w:rsidRDefault="005525B7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82F55" w:rsidRDefault="00482F5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82F55" w:rsidRDefault="00482F5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82F55" w:rsidRDefault="00482F5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82F55" w:rsidRDefault="00482F5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482F55" w:rsidRDefault="00482F5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9C1A14" w:rsidRDefault="009C1A14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8316B5" w:rsidRPr="00025D8C" w:rsidRDefault="008316B5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025D8C" w:rsidRPr="00025D8C" w:rsidRDefault="00025D8C" w:rsidP="00025D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highlight w:val="yellow"/>
        </w:rPr>
      </w:pP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Приложение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 Порядку формирования 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перечня налоговых расходов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="005525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Апазовского</w:t>
      </w:r>
      <w:proofErr w:type="spellEnd"/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Арского муниципального района 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Республики Татарстан</w:t>
      </w: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25D8C" w:rsidRPr="00025D8C" w:rsidRDefault="00025D8C" w:rsidP="00025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Перечень показателей для проведения оценки налоговых расходов</w:t>
      </w:r>
    </w:p>
    <w:p w:rsidR="008316B5" w:rsidRDefault="005525B7" w:rsidP="0083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Апазовского</w:t>
      </w:r>
      <w:proofErr w:type="spellEnd"/>
      <w:r w:rsidR="00025D8C" w:rsidRPr="00025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 Арского муниципального района</w:t>
      </w:r>
    </w:p>
    <w:p w:rsidR="00025D8C" w:rsidRDefault="00025D8C" w:rsidP="0083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25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Татарстан</w:t>
      </w:r>
    </w:p>
    <w:p w:rsidR="008316B5" w:rsidRPr="00025D8C" w:rsidRDefault="008316B5" w:rsidP="00831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3260"/>
      </w:tblGrid>
      <w:tr w:rsidR="00025D8C" w:rsidRPr="00025D8C" w:rsidTr="00E07EF8">
        <w:tc>
          <w:tcPr>
            <w:tcW w:w="6805" w:type="dxa"/>
            <w:gridSpan w:val="2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025D8C" w:rsidRPr="00025D8C" w:rsidTr="00E07EF8">
        <w:tc>
          <w:tcPr>
            <w:tcW w:w="10065" w:type="dxa"/>
            <w:gridSpan w:val="3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.Нормативные и целевые характеристики налогового расхода</w:t>
            </w:r>
            <w:r w:rsidRPr="00025D8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Нормативный правовой акт муниципального образования, устанавливающий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025D8C" w:rsidRPr="00025D8C" w:rsidRDefault="00025D8C" w:rsidP="009C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Условия предоставления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  <w:proofErr w:type="gramEnd"/>
          </w:p>
        </w:tc>
        <w:tc>
          <w:tcPr>
            <w:tcW w:w="3260" w:type="dxa"/>
          </w:tcPr>
          <w:p w:rsidR="00025D8C" w:rsidRPr="00025D8C" w:rsidRDefault="00025D8C" w:rsidP="009C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  <w:proofErr w:type="gramEnd"/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</w:tcPr>
          <w:p w:rsidR="00025D8C" w:rsidRPr="00025D8C" w:rsidRDefault="00025D8C" w:rsidP="009C1A14">
            <w:pPr>
              <w:spacing w:after="0" w:line="240" w:lineRule="auto"/>
              <w:jc w:val="center"/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rPr>
          <w:trHeight w:val="292"/>
        </w:trPr>
        <w:tc>
          <w:tcPr>
            <w:tcW w:w="10065" w:type="dxa"/>
            <w:gridSpan w:val="3"/>
          </w:tcPr>
          <w:p w:rsidR="00025D8C" w:rsidRPr="00025D8C" w:rsidRDefault="00025D8C" w:rsidP="0002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Фискальные</w:t>
            </w:r>
            <w:r w:rsidRPr="00025D8C">
              <w:rPr>
                <w:sz w:val="26"/>
                <w:szCs w:val="26"/>
              </w:rPr>
              <w:t xml:space="preserve">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  <w:r w:rsidRPr="0002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</w:t>
            </w:r>
            <w:r w:rsidRPr="00025D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  <w:proofErr w:type="gramEnd"/>
          </w:p>
        </w:tc>
        <w:tc>
          <w:tcPr>
            <w:tcW w:w="3260" w:type="dxa"/>
          </w:tcPr>
          <w:p w:rsidR="00025D8C" w:rsidRPr="00025D8C" w:rsidRDefault="00025D8C" w:rsidP="00025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</w:t>
            </w:r>
            <w:proofErr w:type="spell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</w:tcPr>
          <w:p w:rsidR="00025D8C" w:rsidRPr="00025D8C" w:rsidRDefault="00025D8C" w:rsidP="00025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 муниципального образования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6237" w:type="dxa"/>
          </w:tcPr>
          <w:p w:rsidR="00025D8C" w:rsidRPr="00025D8C" w:rsidRDefault="00025D8C" w:rsidP="0083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</w:t>
            </w:r>
            <w:proofErr w:type="spell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воспользовав</w:t>
            </w:r>
            <w:r w:rsidR="008316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шихся</w:t>
            </w:r>
            <w:proofErr w:type="spellEnd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налоговой льготой, освобождением и иной преференцией (единиц),</w:t>
            </w:r>
            <w:r w:rsidRPr="00025D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proofErr w:type="gramStart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3260" w:type="dxa"/>
          </w:tcPr>
          <w:p w:rsidR="00025D8C" w:rsidRPr="00025D8C" w:rsidRDefault="00025D8C" w:rsidP="00025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D8C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025D8C" w:rsidRPr="00025D8C" w:rsidTr="00E07EF8">
        <w:tc>
          <w:tcPr>
            <w:tcW w:w="568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6237" w:type="dxa"/>
          </w:tcPr>
          <w:p w:rsidR="00025D8C" w:rsidRPr="00025D8C" w:rsidRDefault="00025D8C" w:rsidP="00025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оценки эффективности </w:t>
            </w:r>
            <w:bookmarkStart w:id="3" w:name="_GoBack"/>
            <w:bookmarkEnd w:id="3"/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налогового расхода</w:t>
            </w:r>
            <w:r w:rsidRPr="00025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25D8C" w:rsidRPr="00025D8C" w:rsidRDefault="00025D8C" w:rsidP="00025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D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муниципального образования </w:t>
            </w:r>
          </w:p>
        </w:tc>
      </w:tr>
    </w:tbl>
    <w:p w:rsidR="00727B51" w:rsidRDefault="00727B51" w:rsidP="008316B5"/>
    <w:sectPr w:rsidR="00727B51" w:rsidSect="009C1A14">
      <w:pgSz w:w="11906" w:h="16838" w:code="9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Antiqua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22"/>
    <w:rsid w:val="00025D8C"/>
    <w:rsid w:val="00361322"/>
    <w:rsid w:val="00482F55"/>
    <w:rsid w:val="005525B7"/>
    <w:rsid w:val="00645BE0"/>
    <w:rsid w:val="00727B51"/>
    <w:rsid w:val="008316B5"/>
    <w:rsid w:val="009C1A14"/>
    <w:rsid w:val="00C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BE0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45BE0"/>
    <w:rPr>
      <w:rFonts w:ascii="Tatar Antiqua" w:eastAsia="Times New Roman" w:hAnsi="Tatar Antiqua" w:cs="Times New Roman"/>
      <w:b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45BE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5BE0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45BE0"/>
    <w:rPr>
      <w:rFonts w:ascii="Tatar Antiqua" w:eastAsia="Times New Roman" w:hAnsi="Tatar Antiqua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k.tatarstan.ru/" TargetMode="External"/><Relationship Id="rId5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Customer</cp:lastModifiedBy>
  <cp:revision>5</cp:revision>
  <cp:lastPrinted>2020-03-24T12:07:00Z</cp:lastPrinted>
  <dcterms:created xsi:type="dcterms:W3CDTF">2020-03-24T06:19:00Z</dcterms:created>
  <dcterms:modified xsi:type="dcterms:W3CDTF">2020-03-24T12:11:00Z</dcterms:modified>
</cp:coreProperties>
</file>