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41"/>
        <w:gridCol w:w="1184"/>
        <w:gridCol w:w="4440"/>
      </w:tblGrid>
      <w:tr w:rsidR="00F500A8" w:rsidTr="00F500A8">
        <w:trPr>
          <w:trHeight w:val="1418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500A8" w:rsidRDefault="00F500A8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  <w:t>СОВЕТ</w:t>
            </w:r>
          </w:p>
          <w:p w:rsidR="00F500A8" w:rsidRDefault="00F500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НОВОКЫРЛАЙСКОГО</w:t>
            </w:r>
          </w:p>
          <w:p w:rsidR="00F500A8" w:rsidRDefault="00F500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F500A8" w:rsidRDefault="00F500A8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F500A8" w:rsidRDefault="00F500A8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F500A8" w:rsidRDefault="00F500A8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F500A8" w:rsidRDefault="00F500A8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F500A8" w:rsidRDefault="00F500A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500A8" w:rsidRDefault="00F500A8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0A8" w:rsidRDefault="00F500A8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F500A8" w:rsidRDefault="00F500A8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F500A8" w:rsidRDefault="00F500A8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КЫРЛАЙ</w:t>
            </w:r>
          </w:p>
          <w:p w:rsidR="00F500A8" w:rsidRDefault="00F500A8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авыл җирлеге</w:t>
            </w:r>
          </w:p>
          <w:p w:rsidR="00F500A8" w:rsidRDefault="00F500A8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F500A8" w:rsidRDefault="00F500A8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F500A8" w:rsidRDefault="00F500A8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F500A8" w:rsidTr="00F500A8"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0A8" w:rsidRDefault="00F500A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C91F78">
              <w:fldChar w:fldCharType="begin"/>
            </w:r>
            <w:r w:rsidR="00C91F78">
              <w:instrText>HYPERLINK "mailto:.Ars@tatar.ru"</w:instrText>
            </w:r>
            <w:r w:rsidR="00C91F78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C91F78">
              <w:fldChar w:fldCharType="end"/>
            </w:r>
          </w:p>
        </w:tc>
      </w:tr>
    </w:tbl>
    <w:p w:rsidR="00796D27" w:rsidRDefault="00796D27" w:rsidP="00F500A8">
      <w:pPr>
        <w:jc w:val="center"/>
      </w:pPr>
    </w:p>
    <w:p w:rsidR="00820E2A" w:rsidRPr="00820E2A" w:rsidRDefault="00820E2A" w:rsidP="00820E2A">
      <w:pPr>
        <w:pStyle w:val="1"/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820E2A">
        <w:rPr>
          <w:rFonts w:ascii="Arial" w:eastAsiaTheme="minorEastAsia" w:hAnsi="Arial" w:cs="Arial"/>
          <w:b/>
          <w:sz w:val="24"/>
          <w:szCs w:val="24"/>
        </w:rPr>
        <w:t>РЕШЕНИЕ</w:t>
      </w:r>
    </w:p>
    <w:p w:rsidR="00820E2A" w:rsidRPr="00820E2A" w:rsidRDefault="00820E2A" w:rsidP="00820E2A">
      <w:pPr>
        <w:pStyle w:val="3"/>
        <w:spacing w:line="276" w:lineRule="auto"/>
        <w:jc w:val="center"/>
        <w:rPr>
          <w:rFonts w:ascii="Arial" w:eastAsiaTheme="minorEastAsia" w:hAnsi="Arial" w:cs="Arial"/>
          <w:color w:val="auto"/>
          <w:sz w:val="24"/>
          <w:szCs w:val="24"/>
        </w:rPr>
      </w:pPr>
      <w:r w:rsidRPr="00820E2A">
        <w:rPr>
          <w:rFonts w:ascii="Arial" w:eastAsiaTheme="minorEastAsia" w:hAnsi="Arial" w:cs="Arial"/>
          <w:color w:val="auto"/>
          <w:sz w:val="24"/>
          <w:szCs w:val="24"/>
        </w:rPr>
        <w:t xml:space="preserve">Совета </w:t>
      </w:r>
      <w:proofErr w:type="spellStart"/>
      <w:r w:rsidRPr="00820E2A">
        <w:rPr>
          <w:rFonts w:ascii="Arial" w:eastAsiaTheme="minorEastAsia" w:hAnsi="Arial" w:cs="Arial"/>
          <w:color w:val="auto"/>
          <w:sz w:val="24"/>
          <w:szCs w:val="24"/>
        </w:rPr>
        <w:t>Новокырлайского</w:t>
      </w:r>
      <w:proofErr w:type="spellEnd"/>
      <w:r w:rsidRPr="00820E2A">
        <w:rPr>
          <w:rFonts w:ascii="Arial" w:eastAsiaTheme="minorEastAsia" w:hAnsi="Arial" w:cs="Arial"/>
          <w:color w:val="auto"/>
          <w:sz w:val="24"/>
          <w:szCs w:val="24"/>
        </w:rPr>
        <w:t xml:space="preserve"> сельского поселения</w:t>
      </w:r>
    </w:p>
    <w:p w:rsidR="00820E2A" w:rsidRPr="00820E2A" w:rsidRDefault="00820E2A" w:rsidP="00820E2A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820E2A" w:rsidRPr="00820E2A" w:rsidTr="00820E2A">
        <w:tc>
          <w:tcPr>
            <w:tcW w:w="534" w:type="dxa"/>
            <w:hideMark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20E2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2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E2A" w:rsidRPr="00820E2A" w:rsidRDefault="00820E2A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20E2A">
              <w:rPr>
                <w:rFonts w:ascii="Arial" w:eastAsiaTheme="minorEastAsia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84" w:type="dxa"/>
            <w:hideMark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2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E2A" w:rsidRPr="00820E2A" w:rsidRDefault="00820E2A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20E2A">
              <w:rPr>
                <w:rFonts w:ascii="Arial" w:eastAsiaTheme="minorEastAsia" w:hAnsi="Arial" w:cs="Arial"/>
                <w:b/>
                <w:sz w:val="24"/>
                <w:szCs w:val="24"/>
              </w:rPr>
              <w:t>июля</w:t>
            </w:r>
          </w:p>
        </w:tc>
        <w:tc>
          <w:tcPr>
            <w:tcW w:w="1134" w:type="dxa"/>
            <w:hideMark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20E2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4" w:type="dxa"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29" w:type="dxa"/>
            <w:hideMark/>
          </w:tcPr>
          <w:p w:rsidR="00820E2A" w:rsidRPr="00820E2A" w:rsidRDefault="00820E2A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20E2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E2A" w:rsidRPr="00820E2A" w:rsidRDefault="00820E2A">
            <w:p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20E2A">
              <w:rPr>
                <w:rFonts w:ascii="Arial" w:eastAsiaTheme="minorEastAsia" w:hAnsi="Arial" w:cs="Arial"/>
                <w:b/>
                <w:sz w:val="24"/>
                <w:szCs w:val="24"/>
              </w:rPr>
              <w:t>102</w:t>
            </w:r>
          </w:p>
        </w:tc>
      </w:tr>
    </w:tbl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0E2A">
        <w:rPr>
          <w:rFonts w:ascii="Arial" w:hAnsi="Arial" w:cs="Arial"/>
          <w:b/>
          <w:sz w:val="24"/>
          <w:szCs w:val="24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820E2A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 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 и несовершеннолетних детей, если</w:t>
      </w:r>
      <w:proofErr w:type="gramEnd"/>
      <w:r w:rsidRPr="00820E2A">
        <w:rPr>
          <w:rFonts w:ascii="Arial" w:hAnsi="Arial" w:cs="Arial"/>
          <w:b/>
          <w:sz w:val="24"/>
          <w:szCs w:val="24"/>
        </w:rPr>
        <w:t xml:space="preserve"> искажение этих сведений является несущественным</w:t>
      </w: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В соответствии с федеральными законами от 6 октября 2003 года № 131-ФЗ «Об общих принципах организации местного самоуправления в Российской Федерации», от 25 декабря 2008 года № 273-ФЗ «О противодействии коррупции»</w:t>
      </w:r>
      <w:proofErr w:type="gramStart"/>
      <w:r w:rsidRPr="00820E2A">
        <w:rPr>
          <w:rFonts w:ascii="Arial" w:hAnsi="Arial" w:cs="Arial"/>
          <w:sz w:val="24"/>
          <w:szCs w:val="24"/>
        </w:rPr>
        <w:t>,з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аконами Республики Татарстан от 19 июля 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</w:t>
      </w:r>
      <w:proofErr w:type="gramStart"/>
      <w:r w:rsidRPr="00820E2A">
        <w:rPr>
          <w:rFonts w:ascii="Arial" w:hAnsi="Arial" w:cs="Arial"/>
          <w:sz w:val="24"/>
          <w:szCs w:val="24"/>
        </w:rPr>
        <w:t>местной администрации по контракту, лицами, замещающими муниципальные должности либо должности главы местной администрации по контракту», от 19 июля 2017 года № 57-ЗРТ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должности главы местной администрации по контракту»,</w:t>
      </w:r>
      <w:hyperlink r:id="rId4" w:history="1">
        <w:r w:rsidRPr="00820E2A">
          <w:rPr>
            <w:rStyle w:val="a3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820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Совет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proofErr w:type="gram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решил:</w:t>
      </w: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20E2A">
        <w:rPr>
          <w:rFonts w:ascii="Arial" w:hAnsi="Arial" w:cs="Arial"/>
          <w:sz w:val="24"/>
          <w:szCs w:val="24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мер ответственности за представление недостоверных или неполных сведений о своих доходах, расходах, об имуществе и </w:t>
      </w:r>
      <w:r w:rsidRPr="00820E2A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 искажение этих сведений является несущественны</w:t>
      </w:r>
      <w:proofErr w:type="gramStart"/>
      <w:r w:rsidRPr="00820E2A">
        <w:rPr>
          <w:rFonts w:ascii="Arial" w:hAnsi="Arial" w:cs="Arial"/>
          <w:sz w:val="24"/>
          <w:szCs w:val="24"/>
        </w:rPr>
        <w:t>м(</w:t>
      </w:r>
      <w:proofErr w:type="gramEnd"/>
      <w:r w:rsidRPr="00820E2A">
        <w:rPr>
          <w:rFonts w:ascii="Arial" w:hAnsi="Arial" w:cs="Arial"/>
          <w:sz w:val="24"/>
          <w:szCs w:val="24"/>
        </w:rPr>
        <w:t>Приложение).</w:t>
      </w: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2. Настоящее решение вступает со дня опубликования.</w:t>
      </w: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3. 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Арского </w:t>
      </w:r>
      <w:proofErr w:type="gramStart"/>
      <w:r w:rsidRPr="00820E2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 района</w:t>
      </w: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20E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Г.Г.Сафаров </w:t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  <w:r w:rsidRPr="00820E2A">
        <w:rPr>
          <w:rFonts w:ascii="Arial" w:hAnsi="Arial" w:cs="Arial"/>
          <w:sz w:val="24"/>
          <w:szCs w:val="24"/>
        </w:rPr>
        <w:tab/>
      </w: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  <w:proofErr w:type="spellStart"/>
      <w:r w:rsidRPr="00820E2A">
        <w:rPr>
          <w:rFonts w:ascii="Arial" w:hAnsi="Arial" w:cs="Arial"/>
          <w:sz w:val="24"/>
          <w:szCs w:val="24"/>
        </w:rPr>
        <w:lastRenderedPageBreak/>
        <w:t>Приложение</w:t>
      </w:r>
      <w:bookmarkStart w:id="0" w:name="_GoBack"/>
      <w:bookmarkEnd w:id="0"/>
      <w:r w:rsidRPr="00820E2A">
        <w:rPr>
          <w:rFonts w:ascii="Arial" w:hAnsi="Arial" w:cs="Arial"/>
          <w:sz w:val="24"/>
          <w:szCs w:val="24"/>
        </w:rPr>
        <w:t>к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решению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</w:p>
    <w:p w:rsidR="00820E2A" w:rsidRPr="00820E2A" w:rsidRDefault="00820E2A" w:rsidP="00820E2A">
      <w:pPr>
        <w:pStyle w:val="ConsPlusNormal"/>
        <w:tabs>
          <w:tab w:val="left" w:pos="6237"/>
        </w:tabs>
        <w:spacing w:line="276" w:lineRule="auto"/>
        <w:ind w:left="6521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02.07.</w:t>
      </w:r>
      <w:r w:rsidRPr="00820E2A">
        <w:rPr>
          <w:rFonts w:ascii="Arial" w:hAnsi="Arial" w:cs="Arial"/>
          <w:sz w:val="24"/>
          <w:szCs w:val="24"/>
        </w:rPr>
        <w:t>2020 г. №</w:t>
      </w:r>
      <w:r>
        <w:rPr>
          <w:rFonts w:ascii="Arial" w:hAnsi="Arial" w:cs="Arial"/>
          <w:sz w:val="24"/>
          <w:szCs w:val="24"/>
        </w:rPr>
        <w:t>102</w:t>
      </w:r>
    </w:p>
    <w:p w:rsidR="00820E2A" w:rsidRPr="00820E2A" w:rsidRDefault="00820E2A" w:rsidP="00820E2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1" w:name="P35"/>
      <w:bookmarkEnd w:id="1"/>
      <w:proofErr w:type="gramStart"/>
      <w:r w:rsidRPr="00820E2A">
        <w:rPr>
          <w:rFonts w:ascii="Arial" w:hAnsi="Arial" w:cs="Arial"/>
          <w:b/>
          <w:sz w:val="24"/>
          <w:szCs w:val="24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820E2A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b/>
          <w:sz w:val="24"/>
          <w:szCs w:val="24"/>
        </w:rPr>
        <w:t xml:space="preserve"> сельского поселения  Арского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820E2A">
        <w:rPr>
          <w:rFonts w:ascii="Arial" w:hAnsi="Arial" w:cs="Arial"/>
          <w:b/>
          <w:sz w:val="24"/>
          <w:szCs w:val="24"/>
        </w:rPr>
        <w:t xml:space="preserve"> искажение этих сведений является несущественным</w:t>
      </w:r>
    </w:p>
    <w:p w:rsidR="00820E2A" w:rsidRPr="00820E2A" w:rsidRDefault="00820E2A" w:rsidP="00820E2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0E2A" w:rsidRPr="00820E2A" w:rsidRDefault="00820E2A" w:rsidP="00820E2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(далее </w:t>
      </w:r>
      <w:proofErr w:type="gramStart"/>
      <w:r w:rsidRPr="00820E2A">
        <w:rPr>
          <w:rFonts w:ascii="Arial" w:hAnsi="Arial" w:cs="Arial"/>
          <w:sz w:val="24"/>
          <w:szCs w:val="24"/>
        </w:rPr>
        <w:t>–л</w:t>
      </w:r>
      <w:proofErr w:type="gramEnd"/>
      <w:r w:rsidRPr="00820E2A">
        <w:rPr>
          <w:rFonts w:ascii="Arial" w:hAnsi="Arial" w:cs="Arial"/>
          <w:sz w:val="24"/>
          <w:szCs w:val="24"/>
        </w:rPr>
        <w:t>ицо, замещающее муниципальную должность)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                                    и обязательствах имущественного характер своих супруг</w:t>
      </w:r>
      <w:proofErr w:type="gramStart"/>
      <w:r w:rsidRPr="00820E2A">
        <w:rPr>
          <w:rFonts w:ascii="Arial" w:hAnsi="Arial" w:cs="Arial"/>
          <w:sz w:val="24"/>
          <w:szCs w:val="24"/>
        </w:rPr>
        <w:t>и(</w:t>
      </w:r>
      <w:proofErr w:type="gramEnd"/>
      <w:r w:rsidRPr="00820E2A">
        <w:rPr>
          <w:rFonts w:ascii="Arial" w:hAnsi="Arial" w:cs="Arial"/>
          <w:sz w:val="24"/>
          <w:szCs w:val="24"/>
        </w:rPr>
        <w:t>супруга)                                       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 (далее – меры ответственности).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2. В соответствии с частью 7</w:t>
      </w:r>
      <w:r w:rsidRPr="00820E2A">
        <w:rPr>
          <w:rFonts w:ascii="Arial" w:hAnsi="Arial" w:cs="Arial"/>
          <w:sz w:val="24"/>
          <w:szCs w:val="24"/>
          <w:vertAlign w:val="superscript"/>
        </w:rPr>
        <w:t>3-1</w:t>
      </w:r>
      <w:r w:rsidRPr="00820E2A">
        <w:rPr>
          <w:rFonts w:ascii="Arial" w:hAnsi="Arial" w:cs="Arial"/>
          <w:sz w:val="24"/>
          <w:szCs w:val="24"/>
        </w:rPr>
        <w:t xml:space="preserve"> статьи 40 Федерального закона                                          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820E2A">
        <w:rPr>
          <w:rFonts w:ascii="Arial" w:hAnsi="Arial" w:cs="Arial"/>
          <w:sz w:val="24"/>
          <w:szCs w:val="24"/>
        </w:rPr>
        <w:t>»к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 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применяются следующие меры ответственности: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1) предупреждение;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2) освобождение депутата, члена выборного органа местного самоуправления от должности в Совете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выборном органе местного самоуправления с лишением права занимать должности в Совете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выборном органе местного самоуправления до прекращения срока его полномочий;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lastRenderedPageBreak/>
        <w:t xml:space="preserve">4) запрет занимать должности в Совете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820E2A">
        <w:rPr>
          <w:rFonts w:ascii="Arial" w:hAnsi="Arial" w:cs="Arial"/>
          <w:i/>
          <w:sz w:val="24"/>
          <w:szCs w:val="24"/>
        </w:rPr>
        <w:t xml:space="preserve">, </w:t>
      </w:r>
      <w:r w:rsidRPr="00820E2A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3.Вопрос о применении к лицам, замещающим муниципальные должности, одной из мер ответственности, перечисленных в пункте 2 настоящего Порядка, рассматривается Советом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</w:t>
      </w:r>
      <w:proofErr w:type="gramStart"/>
      <w:r w:rsidRPr="00820E2A">
        <w:rPr>
          <w:rFonts w:ascii="Arial" w:hAnsi="Arial" w:cs="Arial"/>
          <w:sz w:val="24"/>
          <w:szCs w:val="24"/>
        </w:rPr>
        <w:t>а(</w:t>
      </w:r>
      <w:proofErr w:type="gramEnd"/>
      <w:r w:rsidRPr="00820E2A">
        <w:rPr>
          <w:rFonts w:ascii="Arial" w:hAnsi="Arial" w:cs="Arial"/>
          <w:sz w:val="24"/>
          <w:szCs w:val="24"/>
        </w:rPr>
        <w:t>далее – Совет).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Основанием для рассмотрения указанного вопроса является поступившее                                           в Совет заявление Президента Республики Татарстан, предусмотренное частью 7</w:t>
      </w:r>
      <w:r w:rsidRPr="00820E2A">
        <w:rPr>
          <w:rFonts w:ascii="Arial" w:hAnsi="Arial" w:cs="Arial"/>
          <w:sz w:val="24"/>
          <w:szCs w:val="24"/>
          <w:vertAlign w:val="superscript"/>
        </w:rPr>
        <w:t>3</w:t>
      </w:r>
      <w:r w:rsidRPr="00820E2A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                         о применении мер ответственности к лицу, замещающему муниципальную должность.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4.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5. Совет уведомляет лицо, замещающее муниципальную должность, </w:t>
      </w:r>
      <w:r w:rsidRPr="00820E2A">
        <w:rPr>
          <w:rFonts w:ascii="Arial" w:hAnsi="Arial" w:cs="Arial"/>
          <w:sz w:val="24"/>
          <w:szCs w:val="24"/>
        </w:rPr>
        <w:br/>
        <w:t>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Неявка лица, замещающего муниципальную должность, извещенного о месте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6. Заявление Президента Республики Татарстан о применении мер ответственности к лицу, замещающему муниципальную должность, рассматривается на заседании Совета в порядке, установленном Регламентом Совета, утвержденным Советом </w:t>
      </w:r>
      <w:proofErr w:type="spellStart"/>
      <w:r w:rsidRPr="00820E2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20E2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При рассмотрении указанного вопроса лицу, замещающему муниципальную должность, должна быть предоставлена возможность дать пояснения  по представленным сведениям.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При рассмотрении вопроса о применении к лицу, замещающему муниципальную должность, одной из мер ответственности депутатами должны соблюдаться требования по предотвращению и урегулированию конфликта интересов. Председательствующий на заседании Совета обязан предложить депутатам сообщить о наличии либо возможности возникновения конфликта интересов.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7. По результатам рассмотрения заявления Президента Республики Татарстан принимается решение о применении меры ответственности к лицу, замещающему муниципальную должность, либо об отказе в применении меры ответственности.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lastRenderedPageBreak/>
        <w:t>Указанное решение принимается в порядке, установленном Регламентом.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20E2A">
        <w:rPr>
          <w:rFonts w:ascii="Arial" w:hAnsi="Arial" w:cs="Arial"/>
          <w:sz w:val="24"/>
          <w:szCs w:val="24"/>
        </w:rPr>
        <w:t>Решение о применении меры ответственности принимается на основе принципов справедливости, соразмерности, 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а также с учетом предшествующих результатов исполнения лицом, замещающим муниципальную должность,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За представление в отчетный период недостоверных или неполных сведений о доходах, о расходах, об имуществе и обязательствах имущественного характера может быть применена только одна мера ответственности.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9. 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лицом, замещающим муниципальную должность, право на обжалование решения в порядке, установленном законодательством Российской Федерации.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10. Решение об отказе в применении меры ответственности должно содержать мотивированное обоснование такого отказа.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 xml:space="preserve">11. Копии решения о применении меры ответственности или об отказе                            в применении меры ответственности в течение пяти рабочих дней со дня                               его принятия вручается </w:t>
      </w:r>
      <w:proofErr w:type="gramStart"/>
      <w:r w:rsidRPr="00820E2A">
        <w:rPr>
          <w:rFonts w:ascii="Arial" w:hAnsi="Arial" w:cs="Arial"/>
          <w:sz w:val="24"/>
          <w:szCs w:val="24"/>
        </w:rPr>
        <w:t>лицу, замещающему муниципальную должность                          под роспись либо направляется</w:t>
      </w:r>
      <w:proofErr w:type="gramEnd"/>
      <w:r w:rsidRPr="00820E2A">
        <w:rPr>
          <w:rFonts w:ascii="Arial" w:hAnsi="Arial" w:cs="Arial"/>
          <w:sz w:val="24"/>
          <w:szCs w:val="24"/>
        </w:rPr>
        <w:t xml:space="preserve"> почтовым отправлением с уведомлением                           о вручении, а также направляется Президенту Республики Татарстан.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В случае если решение о применении меры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 заместителем председателя Совета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0E2A">
        <w:rPr>
          <w:rFonts w:ascii="Arial" w:hAnsi="Arial" w:cs="Arial"/>
          <w:sz w:val="24"/>
          <w:szCs w:val="24"/>
        </w:rPr>
        <w:t>12. Решение о применении меры ответственности или об отказе в применении меры ответственности, может быть обжаловано в порядке, установленном законодательством Российской Федерации.</w:t>
      </w:r>
    </w:p>
    <w:p w:rsidR="00820E2A" w:rsidRPr="00820E2A" w:rsidRDefault="00820E2A" w:rsidP="00820E2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0E2A" w:rsidRPr="00820E2A" w:rsidRDefault="00820E2A" w:rsidP="00F500A8">
      <w:pPr>
        <w:jc w:val="center"/>
        <w:rPr>
          <w:rFonts w:ascii="Arial" w:hAnsi="Arial" w:cs="Arial"/>
          <w:sz w:val="24"/>
          <w:szCs w:val="24"/>
        </w:rPr>
      </w:pPr>
    </w:p>
    <w:sectPr w:rsidR="00820E2A" w:rsidRPr="00820E2A" w:rsidSect="0079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A8"/>
    <w:rsid w:val="00796D27"/>
    <w:rsid w:val="00820E2A"/>
    <w:rsid w:val="00C91F78"/>
    <w:rsid w:val="00F5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00A8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F500A8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00A8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00A8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F500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0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0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2020-07-06T05:45:00Z</dcterms:created>
  <dcterms:modified xsi:type="dcterms:W3CDTF">2020-07-06T05:52:00Z</dcterms:modified>
</cp:coreProperties>
</file>