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79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5"/>
        <w:gridCol w:w="1135"/>
        <w:gridCol w:w="4255"/>
      </w:tblGrid>
      <w:tr w:rsidR="006C6032" w:rsidRPr="007D7D0B" w:rsidTr="0018721E">
        <w:trPr>
          <w:trHeight w:val="1418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6C6032" w:rsidRPr="00DD4679" w:rsidRDefault="006C6032" w:rsidP="0018721E">
            <w:pPr>
              <w:pStyle w:val="1"/>
              <w:rPr>
                <w:b w:val="0"/>
                <w:caps/>
                <w:spacing w:val="0"/>
                <w:sz w:val="24"/>
                <w:szCs w:val="24"/>
              </w:rPr>
            </w:pPr>
            <w:r w:rsidRPr="00DD4679">
              <w:rPr>
                <w:b w:val="0"/>
                <w:caps/>
                <w:spacing w:val="0"/>
                <w:sz w:val="24"/>
                <w:szCs w:val="24"/>
              </w:rPr>
              <w:t>СОВЕТ</w:t>
            </w:r>
          </w:p>
          <w:p w:rsidR="006C6032" w:rsidRPr="007D7D0B" w:rsidRDefault="006C6032" w:rsidP="0018721E">
            <w:pPr>
              <w:jc w:val="center"/>
              <w:rPr>
                <w:sz w:val="24"/>
                <w:szCs w:val="24"/>
              </w:rPr>
            </w:pPr>
            <w:r w:rsidRPr="007D7D0B">
              <w:rPr>
                <w:sz w:val="24"/>
                <w:szCs w:val="24"/>
              </w:rPr>
              <w:t>НОВОКИШИТСКОГО</w:t>
            </w:r>
          </w:p>
          <w:p w:rsidR="006C6032" w:rsidRPr="007D7D0B" w:rsidRDefault="006C6032" w:rsidP="0018721E">
            <w:pPr>
              <w:jc w:val="center"/>
              <w:rPr>
                <w:sz w:val="24"/>
                <w:szCs w:val="24"/>
              </w:rPr>
            </w:pPr>
            <w:r w:rsidRPr="007D7D0B">
              <w:rPr>
                <w:sz w:val="24"/>
                <w:szCs w:val="24"/>
              </w:rPr>
              <w:t>СЕЛЬСКОГО ПОСЕЛЕНИЯ</w:t>
            </w:r>
          </w:p>
          <w:p w:rsidR="006C6032" w:rsidRPr="007D7D0B" w:rsidRDefault="006C6032" w:rsidP="0018721E">
            <w:pPr>
              <w:pStyle w:val="1"/>
              <w:rPr>
                <w:b w:val="0"/>
                <w:caps/>
                <w:spacing w:val="-18"/>
                <w:szCs w:val="24"/>
              </w:rPr>
            </w:pPr>
            <w:r w:rsidRPr="007D7D0B">
              <w:rPr>
                <w:b w:val="0"/>
                <w:caps/>
                <w:spacing w:val="-18"/>
                <w:szCs w:val="24"/>
              </w:rPr>
              <w:t>Арского муниципального района</w:t>
            </w:r>
          </w:p>
          <w:p w:rsidR="006C6032" w:rsidRPr="007D7D0B" w:rsidRDefault="006C6032" w:rsidP="0018721E">
            <w:pPr>
              <w:pStyle w:val="2"/>
              <w:spacing w:line="240" w:lineRule="auto"/>
              <w:rPr>
                <w:b w:val="0"/>
                <w:caps/>
                <w:sz w:val="24"/>
                <w:szCs w:val="24"/>
              </w:rPr>
            </w:pPr>
            <w:r w:rsidRPr="007D7D0B">
              <w:rPr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6C6032" w:rsidRPr="007D7D0B" w:rsidRDefault="006C6032" w:rsidP="0018721E">
            <w:pPr>
              <w:jc w:val="center"/>
              <w:rPr>
                <w:szCs w:val="22"/>
              </w:rPr>
            </w:pPr>
            <w:r w:rsidRPr="007D7D0B">
              <w:rPr>
                <w:szCs w:val="22"/>
                <w:lang w:val="tt-RU"/>
              </w:rPr>
              <w:t>ул.Дружба, д. 100а</w:t>
            </w:r>
            <w:r w:rsidRPr="007D7D0B">
              <w:rPr>
                <w:szCs w:val="22"/>
              </w:rPr>
              <w:t>, с. Новый</w:t>
            </w:r>
            <w:proofErr w:type="gramStart"/>
            <w:r w:rsidRPr="007D7D0B">
              <w:rPr>
                <w:szCs w:val="22"/>
              </w:rPr>
              <w:t xml:space="preserve"> К</w:t>
            </w:r>
            <w:proofErr w:type="gramEnd"/>
            <w:r w:rsidRPr="007D7D0B">
              <w:rPr>
                <w:szCs w:val="22"/>
              </w:rPr>
              <w:t xml:space="preserve">ишит, </w:t>
            </w:r>
          </w:p>
          <w:p w:rsidR="006C6032" w:rsidRPr="007D7D0B" w:rsidRDefault="006C6032" w:rsidP="0018721E">
            <w:pPr>
              <w:jc w:val="center"/>
              <w:rPr>
                <w:szCs w:val="22"/>
              </w:rPr>
            </w:pPr>
            <w:r w:rsidRPr="007D7D0B">
              <w:rPr>
                <w:szCs w:val="22"/>
              </w:rPr>
              <w:t>Арский муниципальный район, 422034</w:t>
            </w:r>
          </w:p>
          <w:p w:rsidR="006C6032" w:rsidRPr="007D7D0B" w:rsidRDefault="006C6032" w:rsidP="0018721E">
            <w:pPr>
              <w:jc w:val="center"/>
              <w:rPr>
                <w:b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6C6032" w:rsidRPr="007D7D0B" w:rsidRDefault="006C6032" w:rsidP="0018721E">
            <w:pPr>
              <w:rPr>
                <w:b/>
                <w:sz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6032" w:rsidRPr="007D7D0B" w:rsidRDefault="006C6032" w:rsidP="0018721E">
            <w:pPr>
              <w:pStyle w:val="2"/>
              <w:spacing w:line="240" w:lineRule="auto"/>
              <w:rPr>
                <w:b w:val="0"/>
                <w:caps/>
                <w:spacing w:val="-4"/>
                <w:sz w:val="24"/>
                <w:szCs w:val="24"/>
              </w:rPr>
            </w:pPr>
            <w:r w:rsidRPr="007D7D0B">
              <w:rPr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6C6032" w:rsidRPr="007D7D0B" w:rsidRDefault="006C6032" w:rsidP="0018721E">
            <w:pPr>
              <w:jc w:val="center"/>
              <w:rPr>
                <w:caps/>
                <w:sz w:val="24"/>
                <w:szCs w:val="24"/>
              </w:rPr>
            </w:pPr>
            <w:r w:rsidRPr="007D7D0B">
              <w:rPr>
                <w:caps/>
                <w:sz w:val="24"/>
                <w:szCs w:val="24"/>
              </w:rPr>
              <w:t>Арча муниципаль районы</w:t>
            </w:r>
          </w:p>
          <w:p w:rsidR="006C6032" w:rsidRPr="007D7D0B" w:rsidRDefault="006C6032" w:rsidP="0018721E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 w:rsidRPr="007D7D0B">
              <w:rPr>
                <w:caps/>
                <w:sz w:val="24"/>
                <w:szCs w:val="24"/>
                <w:lang w:val="tt-RU"/>
              </w:rPr>
              <w:t>ЯҢА КИШЕТ</w:t>
            </w:r>
          </w:p>
          <w:p w:rsidR="006C6032" w:rsidRPr="007D7D0B" w:rsidRDefault="006C6032" w:rsidP="0018721E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 w:rsidRPr="007D7D0B">
              <w:rPr>
                <w:caps/>
                <w:sz w:val="24"/>
                <w:szCs w:val="24"/>
              </w:rPr>
              <w:t>авыл җирлеге</w:t>
            </w:r>
          </w:p>
          <w:p w:rsidR="006C6032" w:rsidRPr="007D7D0B" w:rsidRDefault="006C6032" w:rsidP="0018721E">
            <w:pPr>
              <w:jc w:val="center"/>
              <w:rPr>
                <w:caps/>
                <w:sz w:val="28"/>
                <w:szCs w:val="28"/>
              </w:rPr>
            </w:pPr>
            <w:r w:rsidRPr="007D7D0B">
              <w:rPr>
                <w:caps/>
                <w:sz w:val="24"/>
                <w:szCs w:val="24"/>
              </w:rPr>
              <w:t>СОВЕты</w:t>
            </w:r>
            <w:r w:rsidRPr="007D7D0B">
              <w:rPr>
                <w:caps/>
                <w:sz w:val="28"/>
                <w:szCs w:val="28"/>
              </w:rPr>
              <w:t xml:space="preserve"> </w:t>
            </w:r>
          </w:p>
          <w:p w:rsidR="006C6032" w:rsidRPr="007D7D0B" w:rsidRDefault="006C6032" w:rsidP="0018721E">
            <w:pPr>
              <w:jc w:val="center"/>
              <w:rPr>
                <w:spacing w:val="-6"/>
                <w:szCs w:val="22"/>
                <w:lang w:val="tt-RU"/>
              </w:rPr>
            </w:pPr>
            <w:r w:rsidRPr="007D7D0B">
              <w:rPr>
                <w:spacing w:val="-6"/>
                <w:szCs w:val="22"/>
                <w:lang w:val="tt-RU"/>
              </w:rPr>
              <w:t xml:space="preserve">Дуслык урамы, 100а йорт, Яңа Кишет авылы, </w:t>
            </w:r>
          </w:p>
          <w:p w:rsidR="006C6032" w:rsidRPr="007D7D0B" w:rsidRDefault="006C6032" w:rsidP="0018721E">
            <w:pPr>
              <w:jc w:val="center"/>
              <w:rPr>
                <w:b/>
                <w:spacing w:val="-6"/>
              </w:rPr>
            </w:pPr>
            <w:r w:rsidRPr="007D7D0B">
              <w:rPr>
                <w:spacing w:val="-6"/>
                <w:szCs w:val="22"/>
                <w:lang w:val="tt-RU"/>
              </w:rPr>
              <w:t>Арча муниципаль районы, 422034</w:t>
            </w:r>
          </w:p>
        </w:tc>
      </w:tr>
      <w:tr w:rsidR="006C6032" w:rsidRPr="007D7D0B" w:rsidTr="0018721E">
        <w:tc>
          <w:tcPr>
            <w:tcW w:w="96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C6032" w:rsidRPr="007D7D0B" w:rsidRDefault="006C6032" w:rsidP="0018721E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/>
              </w:rPr>
            </w:pPr>
            <w:r w:rsidRPr="007D7D0B">
              <w:rPr>
                <w:spacing w:val="2"/>
                <w:szCs w:val="22"/>
              </w:rPr>
              <w:t>Тел. (84366)</w:t>
            </w:r>
            <w:r w:rsidRPr="007D7D0B">
              <w:rPr>
                <w:spacing w:val="2"/>
                <w:szCs w:val="22"/>
                <w:lang w:val="tt-RU"/>
              </w:rPr>
              <w:t>55-4-42</w:t>
            </w:r>
            <w:r w:rsidRPr="007D7D0B">
              <w:rPr>
                <w:spacing w:val="2"/>
                <w:szCs w:val="22"/>
              </w:rPr>
              <w:t>, факс (84366)</w:t>
            </w:r>
            <w:r w:rsidRPr="007D7D0B">
              <w:rPr>
                <w:spacing w:val="2"/>
                <w:szCs w:val="22"/>
                <w:lang w:val="tt-RU"/>
              </w:rPr>
              <w:t>55-4-42</w:t>
            </w:r>
            <w:r w:rsidRPr="007D7D0B">
              <w:rPr>
                <w:spacing w:val="2"/>
                <w:szCs w:val="22"/>
              </w:rPr>
              <w:t xml:space="preserve">. </w:t>
            </w:r>
            <w:r w:rsidRPr="007D7D0B">
              <w:rPr>
                <w:spacing w:val="2"/>
                <w:szCs w:val="22"/>
                <w:lang w:val="en-US"/>
              </w:rPr>
              <w:t xml:space="preserve">E-mail: </w:t>
            </w:r>
            <w:hyperlink r:id="rId5" w:history="1">
              <w:r w:rsidRPr="007D7D0B">
                <w:rPr>
                  <w:rStyle w:val="a3"/>
                  <w:lang w:val="en-US"/>
                </w:rPr>
                <w:t>Nvk</w:t>
              </w:r>
              <w:r w:rsidRPr="007D7D0B">
                <w:rPr>
                  <w:rStyle w:val="a3"/>
                </w:rPr>
                <w:t>.Ars@tatar.ru</w:t>
              </w:r>
            </w:hyperlink>
          </w:p>
        </w:tc>
      </w:tr>
    </w:tbl>
    <w:p w:rsidR="00FC6CA2" w:rsidRDefault="00FC6CA2"/>
    <w:p w:rsidR="006C6032" w:rsidRPr="006C6032" w:rsidRDefault="006C6032" w:rsidP="006C6032">
      <w:pPr>
        <w:pStyle w:val="1"/>
        <w:ind w:firstLine="540"/>
        <w:rPr>
          <w:rFonts w:ascii="Arial" w:hAnsi="Arial" w:cs="Arial"/>
          <w:b w:val="0"/>
          <w:sz w:val="24"/>
          <w:szCs w:val="24"/>
        </w:rPr>
      </w:pPr>
      <w:r w:rsidRPr="006C6032">
        <w:rPr>
          <w:rFonts w:ascii="Arial" w:hAnsi="Arial" w:cs="Arial"/>
          <w:sz w:val="24"/>
          <w:szCs w:val="24"/>
        </w:rPr>
        <w:t>РЕШЕНИЕ</w:t>
      </w:r>
    </w:p>
    <w:p w:rsidR="006C6032" w:rsidRPr="006C6032" w:rsidRDefault="006C6032" w:rsidP="006C6032">
      <w:pPr>
        <w:pStyle w:val="3"/>
        <w:ind w:firstLine="540"/>
        <w:jc w:val="center"/>
        <w:rPr>
          <w:rFonts w:ascii="Arial" w:hAnsi="Arial" w:cs="Arial"/>
          <w:color w:val="auto"/>
          <w:sz w:val="24"/>
          <w:szCs w:val="24"/>
        </w:rPr>
      </w:pPr>
      <w:r w:rsidRPr="006C6032">
        <w:rPr>
          <w:rFonts w:ascii="Arial" w:hAnsi="Arial" w:cs="Arial"/>
          <w:color w:val="auto"/>
          <w:sz w:val="24"/>
          <w:szCs w:val="24"/>
        </w:rPr>
        <w:t>Совета Новокишитского сельского поселения</w:t>
      </w:r>
    </w:p>
    <w:p w:rsidR="006C6032" w:rsidRPr="006C6032" w:rsidRDefault="006C6032" w:rsidP="006C6032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750" w:type="dxa"/>
        <w:tblLayout w:type="fixed"/>
        <w:tblLook w:val="01E0"/>
      </w:tblPr>
      <w:tblGrid>
        <w:gridCol w:w="535"/>
        <w:gridCol w:w="283"/>
        <w:gridCol w:w="567"/>
        <w:gridCol w:w="284"/>
        <w:gridCol w:w="1418"/>
        <w:gridCol w:w="1135"/>
        <w:gridCol w:w="3547"/>
        <w:gridCol w:w="988"/>
        <w:gridCol w:w="993"/>
      </w:tblGrid>
      <w:tr w:rsidR="006C6032" w:rsidRPr="006C6032" w:rsidTr="0018721E">
        <w:tc>
          <w:tcPr>
            <w:tcW w:w="534" w:type="dxa"/>
            <w:hideMark/>
          </w:tcPr>
          <w:p w:rsidR="006C6032" w:rsidRPr="006C6032" w:rsidRDefault="006C6032" w:rsidP="001872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6C6032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от</w:t>
            </w:r>
          </w:p>
        </w:tc>
        <w:tc>
          <w:tcPr>
            <w:tcW w:w="283" w:type="dxa"/>
            <w:hideMark/>
          </w:tcPr>
          <w:p w:rsidR="006C6032" w:rsidRPr="006C6032" w:rsidRDefault="006C6032" w:rsidP="001872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6032">
              <w:rPr>
                <w:rFonts w:ascii="Arial" w:hAnsi="Arial" w:cs="Arial"/>
                <w:b/>
                <w:bCs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6032" w:rsidRPr="006C6032" w:rsidRDefault="006C6032" w:rsidP="001872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6C6032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16</w:t>
            </w:r>
          </w:p>
        </w:tc>
        <w:tc>
          <w:tcPr>
            <w:tcW w:w="284" w:type="dxa"/>
            <w:hideMark/>
          </w:tcPr>
          <w:p w:rsidR="006C6032" w:rsidRPr="006C6032" w:rsidRDefault="006C6032" w:rsidP="001872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6032">
              <w:rPr>
                <w:rFonts w:ascii="Arial" w:hAnsi="Arial" w:cs="Arial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6032" w:rsidRPr="006C6032" w:rsidRDefault="006C6032" w:rsidP="001872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6C6032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июля</w:t>
            </w:r>
          </w:p>
        </w:tc>
        <w:tc>
          <w:tcPr>
            <w:tcW w:w="1135" w:type="dxa"/>
            <w:hideMark/>
          </w:tcPr>
          <w:p w:rsidR="006C6032" w:rsidRPr="006C6032" w:rsidRDefault="006C6032" w:rsidP="001872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6C6032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2021 г.</w:t>
            </w:r>
          </w:p>
        </w:tc>
        <w:tc>
          <w:tcPr>
            <w:tcW w:w="3546" w:type="dxa"/>
          </w:tcPr>
          <w:p w:rsidR="006C6032" w:rsidRPr="006C6032" w:rsidRDefault="006C6032" w:rsidP="001872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</w:p>
        </w:tc>
        <w:tc>
          <w:tcPr>
            <w:tcW w:w="988" w:type="dxa"/>
            <w:hideMark/>
          </w:tcPr>
          <w:p w:rsidR="006C6032" w:rsidRPr="006C6032" w:rsidRDefault="006C6032" w:rsidP="001872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6C6032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6032" w:rsidRPr="006C6032" w:rsidRDefault="006C6032" w:rsidP="001872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25</w:t>
            </w:r>
          </w:p>
        </w:tc>
      </w:tr>
    </w:tbl>
    <w:p w:rsidR="006C6032" w:rsidRPr="006C6032" w:rsidRDefault="006C6032" w:rsidP="006C603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C6032" w:rsidRPr="006C6032" w:rsidRDefault="006C6032" w:rsidP="006C603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C6032">
        <w:rPr>
          <w:rFonts w:ascii="Arial" w:hAnsi="Arial" w:cs="Arial"/>
          <w:b/>
          <w:sz w:val="24"/>
          <w:szCs w:val="24"/>
        </w:rPr>
        <w:t>О внесении изменений в Положение</w:t>
      </w:r>
    </w:p>
    <w:p w:rsidR="006C6032" w:rsidRPr="006C6032" w:rsidRDefault="006C6032" w:rsidP="006C6032">
      <w:pPr>
        <w:jc w:val="center"/>
        <w:rPr>
          <w:rFonts w:ascii="Arial" w:hAnsi="Arial" w:cs="Arial"/>
          <w:b/>
          <w:sz w:val="24"/>
          <w:szCs w:val="24"/>
        </w:rPr>
      </w:pPr>
      <w:r w:rsidRPr="006C6032">
        <w:rPr>
          <w:rFonts w:ascii="Arial" w:hAnsi="Arial" w:cs="Arial"/>
          <w:b/>
          <w:sz w:val="24"/>
          <w:szCs w:val="24"/>
        </w:rPr>
        <w:t xml:space="preserve">о муниципальной службе в </w:t>
      </w:r>
      <w:proofErr w:type="gramStart"/>
      <w:r w:rsidRPr="006C6032">
        <w:rPr>
          <w:rFonts w:ascii="Arial" w:hAnsi="Arial" w:cs="Arial"/>
          <w:b/>
          <w:sz w:val="24"/>
          <w:szCs w:val="24"/>
        </w:rPr>
        <w:t>муниципальном</w:t>
      </w:r>
      <w:proofErr w:type="gramEnd"/>
      <w:r w:rsidRPr="006C6032">
        <w:rPr>
          <w:rFonts w:ascii="Arial" w:hAnsi="Arial" w:cs="Arial"/>
          <w:b/>
          <w:sz w:val="24"/>
          <w:szCs w:val="24"/>
        </w:rPr>
        <w:t xml:space="preserve"> </w:t>
      </w:r>
    </w:p>
    <w:p w:rsidR="006C6032" w:rsidRPr="006C6032" w:rsidRDefault="006C6032" w:rsidP="006C6032">
      <w:pPr>
        <w:jc w:val="center"/>
        <w:rPr>
          <w:rFonts w:ascii="Arial" w:hAnsi="Arial" w:cs="Arial"/>
          <w:b/>
          <w:sz w:val="24"/>
          <w:szCs w:val="24"/>
        </w:rPr>
      </w:pPr>
      <w:r w:rsidRPr="006C6032">
        <w:rPr>
          <w:rFonts w:ascii="Arial" w:hAnsi="Arial" w:cs="Arial"/>
          <w:b/>
          <w:sz w:val="24"/>
          <w:szCs w:val="24"/>
        </w:rPr>
        <w:t>образовании "Новокишитского сельское поселение " Арского муниципального района Республики Татарстан" от 21.12.2018 № 20 (с изменениями от 16.04.2019</w:t>
      </w:r>
      <w:r w:rsidR="00A9078D">
        <w:rPr>
          <w:rFonts w:ascii="Arial" w:hAnsi="Arial" w:cs="Arial"/>
          <w:b/>
          <w:sz w:val="24"/>
          <w:szCs w:val="24"/>
          <w:lang w:val="tt-RU"/>
        </w:rPr>
        <w:t xml:space="preserve"> №23</w:t>
      </w:r>
      <w:r w:rsidRPr="006C6032">
        <w:rPr>
          <w:rFonts w:ascii="Arial" w:hAnsi="Arial" w:cs="Arial"/>
          <w:b/>
          <w:sz w:val="24"/>
          <w:szCs w:val="24"/>
        </w:rPr>
        <w:t xml:space="preserve">,от 08.11.2019 №39, от 20.02.2020 № 44, от 14.08.2020 №53,  </w:t>
      </w:r>
      <w:proofErr w:type="gramStart"/>
      <w:r w:rsidRPr="006C6032">
        <w:rPr>
          <w:rFonts w:ascii="Arial" w:hAnsi="Arial" w:cs="Arial"/>
          <w:b/>
          <w:sz w:val="24"/>
          <w:szCs w:val="24"/>
        </w:rPr>
        <w:t>от</w:t>
      </w:r>
      <w:proofErr w:type="gramEnd"/>
      <w:r w:rsidRPr="006C6032">
        <w:rPr>
          <w:rFonts w:ascii="Arial" w:hAnsi="Arial" w:cs="Arial"/>
          <w:b/>
          <w:sz w:val="24"/>
          <w:szCs w:val="24"/>
        </w:rPr>
        <w:t xml:space="preserve"> 09.12.2020 №11)</w:t>
      </w:r>
    </w:p>
    <w:p w:rsidR="006C6032" w:rsidRPr="006C6032" w:rsidRDefault="006C6032" w:rsidP="006C6032">
      <w:pPr>
        <w:jc w:val="center"/>
        <w:rPr>
          <w:rFonts w:ascii="Arial" w:hAnsi="Arial" w:cs="Arial"/>
          <w:b/>
          <w:sz w:val="24"/>
          <w:szCs w:val="24"/>
        </w:rPr>
      </w:pPr>
    </w:p>
    <w:p w:rsidR="006C6032" w:rsidRPr="006C6032" w:rsidRDefault="006C6032" w:rsidP="006C6032">
      <w:pPr>
        <w:pStyle w:val="ConsPlusNormal"/>
        <w:jc w:val="both"/>
        <w:rPr>
          <w:sz w:val="24"/>
          <w:szCs w:val="24"/>
        </w:rPr>
      </w:pPr>
      <w:r w:rsidRPr="006C6032">
        <w:rPr>
          <w:spacing w:val="-2"/>
          <w:sz w:val="24"/>
          <w:szCs w:val="24"/>
        </w:rPr>
        <w:t>В соответствии с Федеральный закон от 30.04.2021 N 116-ФЗ «О внесении изменений в отдельные законодательные акты Российской Федерации»</w:t>
      </w:r>
      <w:r w:rsidRPr="006C6032">
        <w:rPr>
          <w:rFonts w:eastAsia="Calibri"/>
          <w:sz w:val="24"/>
          <w:szCs w:val="24"/>
        </w:rPr>
        <w:t>,</w:t>
      </w:r>
      <w:r w:rsidRPr="006C6032">
        <w:rPr>
          <w:spacing w:val="-2"/>
          <w:sz w:val="24"/>
          <w:szCs w:val="24"/>
        </w:rPr>
        <w:t xml:space="preserve"> </w:t>
      </w:r>
      <w:r w:rsidRPr="006C6032">
        <w:rPr>
          <w:sz w:val="24"/>
          <w:szCs w:val="24"/>
        </w:rPr>
        <w:t>Совет Новокишитского сельского поселения</w:t>
      </w:r>
      <w:bookmarkStart w:id="0" w:name="_GoBack"/>
      <w:bookmarkEnd w:id="0"/>
      <w:r w:rsidRPr="006C6032">
        <w:rPr>
          <w:sz w:val="24"/>
          <w:szCs w:val="24"/>
        </w:rPr>
        <w:t xml:space="preserve"> </w:t>
      </w:r>
      <w:r w:rsidRPr="006C6032">
        <w:rPr>
          <w:b/>
          <w:sz w:val="24"/>
          <w:szCs w:val="24"/>
        </w:rPr>
        <w:t>решил</w:t>
      </w:r>
      <w:r w:rsidRPr="006C6032">
        <w:rPr>
          <w:sz w:val="24"/>
          <w:szCs w:val="24"/>
        </w:rPr>
        <w:t>:</w:t>
      </w:r>
    </w:p>
    <w:p w:rsidR="006C6032" w:rsidRPr="006C6032" w:rsidRDefault="006C6032" w:rsidP="006C6032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C6032">
        <w:rPr>
          <w:rFonts w:ascii="Arial" w:hAnsi="Arial" w:cs="Arial"/>
          <w:sz w:val="24"/>
          <w:szCs w:val="24"/>
        </w:rPr>
        <w:t xml:space="preserve">Внести в Положение о муниципальной службе в </w:t>
      </w:r>
      <w:proofErr w:type="gramStart"/>
      <w:r w:rsidRPr="006C6032">
        <w:rPr>
          <w:rFonts w:ascii="Arial" w:hAnsi="Arial" w:cs="Arial"/>
          <w:sz w:val="24"/>
          <w:szCs w:val="24"/>
        </w:rPr>
        <w:t>муниципальном</w:t>
      </w:r>
      <w:proofErr w:type="gramEnd"/>
      <w:r w:rsidRPr="006C6032">
        <w:rPr>
          <w:rFonts w:ascii="Arial" w:hAnsi="Arial" w:cs="Arial"/>
          <w:sz w:val="24"/>
          <w:szCs w:val="24"/>
        </w:rPr>
        <w:t xml:space="preserve"> </w:t>
      </w:r>
    </w:p>
    <w:p w:rsidR="006C6032" w:rsidRPr="006C6032" w:rsidRDefault="006C6032" w:rsidP="006C603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C6032">
        <w:rPr>
          <w:rFonts w:ascii="Arial" w:hAnsi="Arial" w:cs="Arial"/>
          <w:sz w:val="24"/>
          <w:szCs w:val="24"/>
        </w:rPr>
        <w:t>образовании</w:t>
      </w:r>
      <w:proofErr w:type="gramEnd"/>
      <w:r w:rsidRPr="006C6032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6C6032">
        <w:rPr>
          <w:rFonts w:ascii="Arial" w:hAnsi="Arial" w:cs="Arial"/>
          <w:sz w:val="24"/>
          <w:szCs w:val="24"/>
        </w:rPr>
        <w:t>Новокишитское</w:t>
      </w:r>
      <w:proofErr w:type="spellEnd"/>
      <w:r w:rsidRPr="006C6032">
        <w:rPr>
          <w:rFonts w:ascii="Arial" w:hAnsi="Arial" w:cs="Arial"/>
          <w:sz w:val="24"/>
          <w:szCs w:val="24"/>
        </w:rPr>
        <w:t xml:space="preserve"> сельское поселение " Арского муниципального района Республики Татарстан", утвержденное решением Совета Новокишитского сельского поселения Арского муниципального района от 21.12.2018 № 20 (с изменениями от 16.04.2019,от 08.11.2019 №39, от 20.02.2020 № 44, от 14.08.2020 №53,  от 09.12.2020 №11) следующие изменения:</w:t>
      </w:r>
    </w:p>
    <w:p w:rsidR="006C6032" w:rsidRPr="006C6032" w:rsidRDefault="006C6032" w:rsidP="006C6032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6C6032">
        <w:rPr>
          <w:rFonts w:ascii="Arial" w:hAnsi="Arial" w:cs="Arial"/>
          <w:sz w:val="24"/>
          <w:szCs w:val="24"/>
        </w:rPr>
        <w:t>1) Подпункт 9 пункта 9.1 статьи 9 изложить в следующей редакции:</w:t>
      </w:r>
    </w:p>
    <w:p w:rsidR="006C6032" w:rsidRPr="006C6032" w:rsidRDefault="006C6032" w:rsidP="006C6032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6C6032">
        <w:rPr>
          <w:rFonts w:ascii="Arial" w:hAnsi="Arial" w:cs="Arial"/>
          <w:sz w:val="24"/>
          <w:szCs w:val="24"/>
        </w:rPr>
        <w:t xml:space="preserve">«9) сообщать в письменной форме представителю нанимателя </w:t>
      </w:r>
      <w:proofErr w:type="gramStart"/>
      <w:r w:rsidRPr="006C6032">
        <w:rPr>
          <w:rFonts w:ascii="Arial" w:hAnsi="Arial" w:cs="Arial"/>
          <w:sz w:val="24"/>
          <w:szCs w:val="24"/>
        </w:rPr>
        <w:t>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</w:t>
      </w:r>
      <w:proofErr w:type="gramEnd"/>
      <w:r w:rsidRPr="006C603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C6032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6C6032">
        <w:rPr>
          <w:rFonts w:ascii="Arial" w:hAnsi="Arial" w:cs="Arial"/>
          <w:sz w:val="24"/>
          <w:szCs w:val="24"/>
        </w:rPr>
        <w:t xml:space="preserve"> с которым иностранный гражданин имеет право находиться на муниципальной службе;»;</w:t>
      </w:r>
    </w:p>
    <w:p w:rsidR="006C6032" w:rsidRPr="006C6032" w:rsidRDefault="006C6032" w:rsidP="006C6032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6C6032">
        <w:rPr>
          <w:rFonts w:ascii="Arial" w:hAnsi="Arial" w:cs="Arial"/>
          <w:sz w:val="24"/>
          <w:szCs w:val="24"/>
        </w:rPr>
        <w:t xml:space="preserve">2) Пункт 9.1. статьи 9 дополнить подпунктом 9.1. следующего содержания: </w:t>
      </w:r>
    </w:p>
    <w:p w:rsidR="006C6032" w:rsidRPr="006C6032" w:rsidRDefault="006C6032" w:rsidP="006C6032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6C6032">
        <w:rPr>
          <w:rFonts w:ascii="Arial" w:hAnsi="Arial" w:cs="Arial"/>
          <w:sz w:val="24"/>
          <w:szCs w:val="24"/>
        </w:rPr>
        <w:t>«9.1)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</w:t>
      </w:r>
      <w:proofErr w:type="gramEnd"/>
      <w:r w:rsidRPr="006C6032">
        <w:rPr>
          <w:rFonts w:ascii="Arial" w:hAnsi="Arial" w:cs="Arial"/>
          <w:sz w:val="24"/>
          <w:szCs w:val="24"/>
        </w:rPr>
        <w:t xml:space="preserve"> иного документа, подтверждающего право на постоянное проживание гражданина на территории иностранного государства</w:t>
      </w:r>
      <w:proofErr w:type="gramStart"/>
      <w:r w:rsidRPr="006C6032">
        <w:rPr>
          <w:rFonts w:ascii="Arial" w:hAnsi="Arial" w:cs="Arial"/>
          <w:sz w:val="24"/>
          <w:szCs w:val="24"/>
        </w:rPr>
        <w:t>;»</w:t>
      </w:r>
      <w:proofErr w:type="gramEnd"/>
      <w:r w:rsidRPr="006C6032">
        <w:rPr>
          <w:rFonts w:ascii="Arial" w:hAnsi="Arial" w:cs="Arial"/>
          <w:sz w:val="24"/>
          <w:szCs w:val="24"/>
        </w:rPr>
        <w:t>;</w:t>
      </w:r>
    </w:p>
    <w:p w:rsidR="006C6032" w:rsidRPr="006C6032" w:rsidRDefault="006C6032" w:rsidP="006C6032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6C6032">
        <w:rPr>
          <w:rFonts w:ascii="Arial" w:hAnsi="Arial" w:cs="Arial"/>
          <w:sz w:val="24"/>
          <w:szCs w:val="24"/>
        </w:rPr>
        <w:t>3) Подпункт 6 пункта 10.1 статьи 10 изложить в следующей редакции:</w:t>
      </w:r>
    </w:p>
    <w:p w:rsidR="006C6032" w:rsidRPr="006C6032" w:rsidRDefault="006C6032" w:rsidP="006C6032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6C6032">
        <w:rPr>
          <w:rFonts w:ascii="Arial" w:hAnsi="Arial" w:cs="Arial"/>
          <w:sz w:val="24"/>
          <w:szCs w:val="24"/>
        </w:rPr>
        <w:lastRenderedPageBreak/>
        <w:t>«6)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6C6032" w:rsidRPr="006C6032" w:rsidRDefault="006C6032" w:rsidP="006C6032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6C6032">
        <w:rPr>
          <w:rFonts w:ascii="Arial" w:hAnsi="Arial" w:cs="Arial"/>
          <w:sz w:val="24"/>
          <w:szCs w:val="24"/>
        </w:rPr>
        <w:t>4) Подпункт 7 пункта 10.1 статьи 10 изложить в следующей редакции:</w:t>
      </w:r>
    </w:p>
    <w:p w:rsidR="006C6032" w:rsidRPr="006C6032" w:rsidRDefault="006C6032" w:rsidP="006C6032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6C6032">
        <w:rPr>
          <w:rFonts w:ascii="Arial" w:hAnsi="Arial" w:cs="Arial"/>
          <w:sz w:val="24"/>
          <w:szCs w:val="24"/>
        </w:rPr>
        <w:t>«7)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</w:t>
      </w:r>
      <w:proofErr w:type="gramStart"/>
      <w:r w:rsidRPr="006C6032">
        <w:rPr>
          <w:rFonts w:ascii="Arial" w:hAnsi="Arial" w:cs="Arial"/>
          <w:sz w:val="24"/>
          <w:szCs w:val="24"/>
        </w:rPr>
        <w:t>;»</w:t>
      </w:r>
      <w:proofErr w:type="gramEnd"/>
      <w:r w:rsidRPr="006C6032">
        <w:rPr>
          <w:rFonts w:ascii="Arial" w:hAnsi="Arial" w:cs="Arial"/>
          <w:sz w:val="24"/>
          <w:szCs w:val="24"/>
        </w:rPr>
        <w:t>;</w:t>
      </w:r>
    </w:p>
    <w:p w:rsidR="006C6032" w:rsidRPr="006C6032" w:rsidRDefault="006C6032" w:rsidP="006C6032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</w:rPr>
      </w:pPr>
      <w:r w:rsidRPr="006C6032">
        <w:rPr>
          <w:rFonts w:ascii="Arial" w:hAnsi="Arial" w:cs="Arial"/>
          <w:sz w:val="24"/>
          <w:szCs w:val="24"/>
        </w:rPr>
        <w:t xml:space="preserve">5) Подпункт 2 пункта 28.1 статьи 28 признать утратившим силу. </w:t>
      </w:r>
    </w:p>
    <w:p w:rsidR="006C6032" w:rsidRPr="006C6032" w:rsidRDefault="006C6032" w:rsidP="006C6032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  <w:sz w:val="24"/>
          <w:szCs w:val="24"/>
          <w:lang w:val="tt-RU"/>
        </w:rPr>
      </w:pPr>
      <w:r w:rsidRPr="006C6032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(http:pravo.tatarstan.ru) и обнародовать путем размещения на официальном сайте Арского муниципального района (http:</w:t>
      </w:r>
      <w:proofErr w:type="spellStart"/>
      <w:r w:rsidRPr="006C6032">
        <w:rPr>
          <w:rFonts w:ascii="Arial" w:hAnsi="Arial" w:cs="Arial"/>
          <w:sz w:val="24"/>
          <w:szCs w:val="24"/>
          <w:lang w:val="en-US"/>
        </w:rPr>
        <w:t>arsk</w:t>
      </w:r>
      <w:proofErr w:type="spellEnd"/>
      <w:r w:rsidRPr="006C6032">
        <w:rPr>
          <w:rFonts w:ascii="Arial" w:hAnsi="Arial" w:cs="Arial"/>
          <w:sz w:val="24"/>
          <w:szCs w:val="24"/>
        </w:rPr>
        <w:t>.</w:t>
      </w:r>
      <w:proofErr w:type="spellStart"/>
      <w:r w:rsidRPr="006C6032">
        <w:rPr>
          <w:rFonts w:ascii="Arial" w:hAnsi="Arial" w:cs="Arial"/>
          <w:sz w:val="24"/>
          <w:szCs w:val="24"/>
        </w:rPr>
        <w:t>tatarstan.ru</w:t>
      </w:r>
      <w:proofErr w:type="spellEnd"/>
      <w:r w:rsidRPr="006C6032">
        <w:rPr>
          <w:rFonts w:ascii="Arial" w:hAnsi="Arial" w:cs="Arial"/>
          <w:sz w:val="24"/>
          <w:szCs w:val="24"/>
        </w:rPr>
        <w:t xml:space="preserve">). </w:t>
      </w:r>
    </w:p>
    <w:p w:rsidR="006C6032" w:rsidRPr="006C6032" w:rsidRDefault="006C6032" w:rsidP="006C6032">
      <w:pPr>
        <w:pStyle w:val="21"/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tt-RU"/>
        </w:rPr>
      </w:pPr>
      <w:r w:rsidRPr="006C6032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C6032">
        <w:rPr>
          <w:rFonts w:ascii="Arial" w:hAnsi="Arial" w:cs="Arial"/>
          <w:sz w:val="24"/>
          <w:szCs w:val="24"/>
        </w:rPr>
        <w:t>Контроль за</w:t>
      </w:r>
      <w:proofErr w:type="gramEnd"/>
      <w:r w:rsidRPr="006C6032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6C6032" w:rsidRPr="006C6032" w:rsidRDefault="006C6032" w:rsidP="006C6032">
      <w:pPr>
        <w:pStyle w:val="21"/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tt-RU"/>
        </w:rPr>
      </w:pPr>
    </w:p>
    <w:p w:rsidR="006C6032" w:rsidRDefault="006C6032" w:rsidP="006C6032">
      <w:pPr>
        <w:rPr>
          <w:rFonts w:ascii="Arial" w:hAnsi="Arial" w:cs="Arial"/>
          <w:sz w:val="24"/>
          <w:szCs w:val="24"/>
          <w:lang w:val="tt-RU"/>
        </w:rPr>
      </w:pPr>
      <w:r w:rsidRPr="006C6032">
        <w:rPr>
          <w:rFonts w:ascii="Arial" w:hAnsi="Arial" w:cs="Arial"/>
          <w:sz w:val="24"/>
          <w:szCs w:val="24"/>
        </w:rPr>
        <w:t xml:space="preserve">Глава Новокишитского </w:t>
      </w:r>
    </w:p>
    <w:p w:rsidR="006C6032" w:rsidRPr="006C6032" w:rsidRDefault="006C6032" w:rsidP="006C6032">
      <w:pPr>
        <w:rPr>
          <w:rFonts w:ascii="Arial" w:hAnsi="Arial" w:cs="Arial"/>
          <w:sz w:val="24"/>
          <w:szCs w:val="24"/>
        </w:rPr>
      </w:pPr>
      <w:r w:rsidRPr="006C6032">
        <w:rPr>
          <w:rFonts w:ascii="Arial" w:hAnsi="Arial" w:cs="Arial"/>
          <w:sz w:val="24"/>
          <w:szCs w:val="24"/>
        </w:rPr>
        <w:t xml:space="preserve">сельского поселения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            </w:t>
      </w:r>
      <w:r w:rsidRPr="006C6032">
        <w:rPr>
          <w:rFonts w:ascii="Arial" w:hAnsi="Arial" w:cs="Arial"/>
          <w:sz w:val="24"/>
          <w:szCs w:val="24"/>
        </w:rPr>
        <w:t xml:space="preserve">               </w:t>
      </w:r>
      <w:r w:rsidRPr="006C6032">
        <w:rPr>
          <w:rFonts w:ascii="Arial" w:hAnsi="Arial" w:cs="Arial"/>
          <w:sz w:val="24"/>
          <w:szCs w:val="24"/>
        </w:rPr>
        <w:tab/>
      </w:r>
      <w:proofErr w:type="spellStart"/>
      <w:r w:rsidRPr="006C6032">
        <w:rPr>
          <w:rFonts w:ascii="Arial" w:hAnsi="Arial" w:cs="Arial"/>
          <w:sz w:val="24"/>
          <w:szCs w:val="24"/>
        </w:rPr>
        <w:t>Э.Ф.Минзянова</w:t>
      </w:r>
      <w:proofErr w:type="spellEnd"/>
    </w:p>
    <w:p w:rsidR="006C6032" w:rsidRPr="006C6032" w:rsidRDefault="006C6032">
      <w:pPr>
        <w:rPr>
          <w:rFonts w:ascii="Arial" w:hAnsi="Arial" w:cs="Arial"/>
        </w:rPr>
      </w:pPr>
    </w:p>
    <w:sectPr w:rsidR="006C6032" w:rsidRPr="006C6032" w:rsidSect="00FC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0563B"/>
    <w:multiLevelType w:val="hybridMultilevel"/>
    <w:tmpl w:val="DB62BC44"/>
    <w:lvl w:ilvl="0" w:tplc="9ADA0E9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C6032"/>
    <w:rsid w:val="00226364"/>
    <w:rsid w:val="006C6032"/>
    <w:rsid w:val="00A9078D"/>
    <w:rsid w:val="00FC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6C6032"/>
    <w:pPr>
      <w:keepNext/>
      <w:widowControl w:val="0"/>
      <w:tabs>
        <w:tab w:val="num" w:pos="360"/>
      </w:tabs>
      <w:jc w:val="center"/>
      <w:outlineLvl w:val="0"/>
    </w:pPr>
    <w:rPr>
      <w:b/>
      <w:snapToGrid w:val="0"/>
      <w:spacing w:val="36"/>
    </w:rPr>
  </w:style>
  <w:style w:type="paragraph" w:styleId="2">
    <w:name w:val="heading 2"/>
    <w:basedOn w:val="a"/>
    <w:next w:val="a"/>
    <w:link w:val="20"/>
    <w:uiPriority w:val="99"/>
    <w:qFormat/>
    <w:rsid w:val="006C6032"/>
    <w:pPr>
      <w:keepNext/>
      <w:shd w:val="clear" w:color="auto" w:fill="FFFFFF"/>
      <w:tabs>
        <w:tab w:val="left" w:pos="0"/>
        <w:tab w:val="num" w:pos="360"/>
        <w:tab w:val="left" w:pos="1603"/>
      </w:tabs>
      <w:spacing w:line="226" w:lineRule="exact"/>
      <w:jc w:val="center"/>
      <w:outlineLvl w:val="1"/>
    </w:pPr>
    <w:rPr>
      <w:b/>
      <w:color w:val="000000"/>
      <w:spacing w:val="-5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0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6C6032"/>
    <w:rPr>
      <w:rFonts w:ascii="Times New Roman" w:eastAsia="Times New Roman" w:hAnsi="Times New Roman" w:cs="Times New Roman"/>
      <w:b/>
      <w:snapToGrid w:val="0"/>
      <w:spacing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C6032"/>
    <w:rPr>
      <w:rFonts w:ascii="Times New Roman" w:eastAsia="Times New Roman" w:hAnsi="Times New Roman" w:cs="Times New Roman"/>
      <w:b/>
      <w:color w:val="000000"/>
      <w:spacing w:val="-5"/>
      <w:sz w:val="28"/>
      <w:szCs w:val="20"/>
      <w:shd w:val="clear" w:color="auto" w:fill="FFFFFF"/>
      <w:lang w:eastAsia="ru-RU"/>
    </w:rPr>
  </w:style>
  <w:style w:type="character" w:styleId="a3">
    <w:name w:val="Hyperlink"/>
    <w:uiPriority w:val="99"/>
    <w:rsid w:val="006C603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C60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6C60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6C603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C60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C60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ush.Ars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2</cp:revision>
  <cp:lastPrinted>2021-07-15T06:39:00Z</cp:lastPrinted>
  <dcterms:created xsi:type="dcterms:W3CDTF">2021-07-15T06:34:00Z</dcterms:created>
  <dcterms:modified xsi:type="dcterms:W3CDTF">2021-07-15T06:45:00Z</dcterms:modified>
</cp:coreProperties>
</file>