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47" w:rsidRDefault="004772D6" w:rsidP="007C2847">
      <w:pPr>
        <w:pStyle w:val="Bodytext60"/>
        <w:shd w:val="clear" w:color="auto" w:fill="auto"/>
        <w:spacing w:after="761"/>
        <w:ind w:left="240"/>
        <w:jc w:val="center"/>
        <w:rPr>
          <w:b w:val="0"/>
          <w:sz w:val="28"/>
          <w:szCs w:val="28"/>
        </w:rPr>
      </w:pPr>
      <w:r w:rsidRPr="007C2847">
        <w:rPr>
          <w:b w:val="0"/>
          <w:sz w:val="28"/>
          <w:szCs w:val="28"/>
        </w:rPr>
        <w:t>О финансовом обеспечении предупредительных мер</w:t>
      </w:r>
      <w:r w:rsidR="0012500A" w:rsidRPr="007C2847">
        <w:rPr>
          <w:b w:val="0"/>
          <w:sz w:val="28"/>
          <w:szCs w:val="28"/>
        </w:rPr>
        <w:t>.</w:t>
      </w:r>
    </w:p>
    <w:p w:rsidR="0022123B" w:rsidRPr="007C2847" w:rsidRDefault="004772D6" w:rsidP="007C2847">
      <w:pPr>
        <w:pStyle w:val="Bodytext60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7C2847">
        <w:rPr>
          <w:b w:val="0"/>
          <w:sz w:val="28"/>
          <w:szCs w:val="28"/>
        </w:rPr>
        <w:t xml:space="preserve">Отделение Фонда пенсионного и социального страхования Российской Федерации по Республике Татарстан продолжает в 2023 году финансирование </w:t>
      </w:r>
      <w:r w:rsidRPr="007C2847">
        <w:rPr>
          <w:b w:val="0"/>
          <w:sz w:val="28"/>
          <w:szCs w:val="28"/>
        </w:rPr>
        <w:t>профилактических мероприятий по охране труда с целью снижения производственного травматизма и количества профессиональных заболеваний.</w:t>
      </w:r>
    </w:p>
    <w:p w:rsidR="0022123B" w:rsidRPr="007C2847" w:rsidRDefault="0012500A" w:rsidP="007C2847">
      <w:pPr>
        <w:pStyle w:val="Bodytext20"/>
        <w:shd w:val="clear" w:color="auto" w:fill="auto"/>
        <w:spacing w:before="0" w:line="360" w:lineRule="auto"/>
        <w:ind w:firstLine="620"/>
      </w:pPr>
      <w:r w:rsidRPr="007C2847">
        <w:t>В</w:t>
      </w:r>
      <w:r w:rsidR="004772D6" w:rsidRPr="007C2847">
        <w:t xml:space="preserve"> соответствии с Трудовым кодексом Российской Федерации в обязанности работодателя входит обеспе</w:t>
      </w:r>
      <w:r w:rsidR="004772D6" w:rsidRPr="007C2847">
        <w:t>чение безопасных условий труда, отвечающих государственным требованиям. В том числе работодатель должен предпринимать меры по предотвращению производственного травматизма и профессиональных заболеваний.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20"/>
      </w:pPr>
      <w:r w:rsidRPr="007C2847">
        <w:t>Согласно действующим нормам</w:t>
      </w:r>
      <w:r>
        <w:t xml:space="preserve"> Трудового кодекса Российс</w:t>
      </w:r>
      <w:r>
        <w:t>кой Федерации ряд из этих мероприятий являются обязательными для исполнения всеми работодателями.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20"/>
      </w:pPr>
      <w:r>
        <w:t>Финансовое обеспечение предупредительных мер осуществляется в соответствии с Правилами финансового обеспечения предупредительных мер по сокращению производств</w:t>
      </w:r>
      <w:r>
        <w:t>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Министерства труда и социальной защиты Российской Фед</w:t>
      </w:r>
      <w:r>
        <w:t>ерации от 14.07.2021 № 467н (далее - Правила).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20"/>
      </w:pPr>
      <w:r>
        <w:t>Финансирование обязательных для всех работодателей мероприятий по профилактике производственного травматизма работников страхователь может осуществить за счет средств Фонда пенсионного и социального страховани</w:t>
      </w:r>
      <w:r>
        <w:t>я Российской Федерации (далее - Фонд) в размере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</w:t>
      </w:r>
      <w:r>
        <w:t>и в связи с несчастными случаями на производстве или профессиональными заболеваниями и на оплату отпуска</w:t>
      </w:r>
      <w:r w:rsidR="0012500A">
        <w:t xml:space="preserve"> </w:t>
      </w:r>
      <w:r>
        <w:t>застрахованного лица (сверх ежегодного оплачиваемого отпуска, установленного законодательством Рос</w:t>
      </w:r>
      <w:r>
        <w:lastRenderedPageBreak/>
        <w:t>сийской Федерации) на весь период его лечения и проез</w:t>
      </w:r>
      <w:r>
        <w:t>да к месту лечения и обратно.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00"/>
      </w:pPr>
      <w:r>
        <w:t>При этом установлено, что объем финансирования может быть увеличен до 30%, если данные дополнительные средства предназначены для санаторно- курортного лечения работников не ранее чем за пять лет до достижения ими возраста, даю</w:t>
      </w:r>
      <w:r>
        <w:t>щего право на назначение страховой пенсии по старости в соответствии с пенсионным законодательством.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00"/>
      </w:pPr>
      <w:r>
        <w:t>В соответствии с пунктом 3 Правил финансовому обеспечению за счет сумм страховых взносов подлежат расходы на проведение следующих мероприятий:</w:t>
      </w:r>
    </w:p>
    <w:p w:rsidR="0022123B" w:rsidRDefault="004772D6" w:rsidP="007C2847">
      <w:pPr>
        <w:pStyle w:val="Bodytext20"/>
        <w:shd w:val="clear" w:color="auto" w:fill="auto"/>
        <w:tabs>
          <w:tab w:val="left" w:pos="941"/>
        </w:tabs>
        <w:spacing w:before="0" w:line="360" w:lineRule="auto"/>
        <w:ind w:firstLine="600"/>
      </w:pPr>
      <w:r>
        <w:t>а)</w:t>
      </w:r>
      <w:r>
        <w:tab/>
        <w:t>проведени</w:t>
      </w:r>
      <w:r>
        <w:t>е специальной оценки условий труда;</w:t>
      </w:r>
    </w:p>
    <w:p w:rsidR="0022123B" w:rsidRDefault="004772D6" w:rsidP="007C2847">
      <w:pPr>
        <w:pStyle w:val="Bodytext20"/>
        <w:shd w:val="clear" w:color="auto" w:fill="auto"/>
        <w:tabs>
          <w:tab w:val="left" w:pos="932"/>
        </w:tabs>
        <w:spacing w:before="0" w:line="360" w:lineRule="auto"/>
        <w:ind w:firstLine="600"/>
      </w:pPr>
      <w:r>
        <w:t>б)</w:t>
      </w:r>
      <w:r>
        <w:tab/>
        <w:t>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22123B" w:rsidRDefault="004772D6" w:rsidP="007C2847">
      <w:pPr>
        <w:pStyle w:val="Bodytext20"/>
        <w:shd w:val="clear" w:color="auto" w:fill="auto"/>
        <w:tabs>
          <w:tab w:val="left" w:pos="961"/>
        </w:tabs>
        <w:spacing w:before="0" w:line="360" w:lineRule="auto"/>
        <w:ind w:firstLine="600"/>
      </w:pPr>
      <w:r>
        <w:t>в)</w:t>
      </w:r>
      <w:r>
        <w:tab/>
        <w:t xml:space="preserve">обучение по </w:t>
      </w:r>
      <w:r>
        <w:t>охране труда;</w:t>
      </w:r>
    </w:p>
    <w:p w:rsidR="0022123B" w:rsidRDefault="004772D6" w:rsidP="007C2847">
      <w:pPr>
        <w:pStyle w:val="Bodytext20"/>
        <w:shd w:val="clear" w:color="auto" w:fill="auto"/>
        <w:tabs>
          <w:tab w:val="left" w:pos="932"/>
        </w:tabs>
        <w:spacing w:before="0" w:line="360" w:lineRule="auto"/>
        <w:ind w:firstLine="600"/>
      </w:pPr>
      <w:r>
        <w:t>г)</w:t>
      </w:r>
      <w:r>
        <w:tab/>
        <w:t xml:space="preserve"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 средств индивидуальной защиты, а также смывающих и (или) </w:t>
      </w:r>
      <w:r>
        <w:t>обезвреживающих средств;</w:t>
      </w:r>
    </w:p>
    <w:p w:rsidR="0022123B" w:rsidRDefault="004772D6" w:rsidP="007C2847">
      <w:pPr>
        <w:pStyle w:val="Bodytext20"/>
        <w:shd w:val="clear" w:color="auto" w:fill="auto"/>
        <w:tabs>
          <w:tab w:val="left" w:pos="932"/>
        </w:tabs>
        <w:spacing w:before="0" w:line="360" w:lineRule="auto"/>
        <w:ind w:firstLine="600"/>
      </w:pPr>
      <w:r>
        <w:t>д)</w:t>
      </w:r>
      <w:r>
        <w:tab/>
        <w:t>санаторно-курортное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категории);</w:t>
      </w:r>
    </w:p>
    <w:p w:rsidR="0022123B" w:rsidRDefault="004772D6" w:rsidP="007C2847">
      <w:pPr>
        <w:pStyle w:val="Bodytext20"/>
        <w:shd w:val="clear" w:color="auto" w:fill="auto"/>
        <w:tabs>
          <w:tab w:val="left" w:pos="941"/>
        </w:tabs>
        <w:spacing w:before="0" w:line="360" w:lineRule="auto"/>
        <w:ind w:firstLine="600"/>
      </w:pPr>
      <w:r>
        <w:t>е)</w:t>
      </w:r>
      <w:r>
        <w:tab/>
        <w:t>проведение обязательных периодических медицинских осмотров (</w:t>
      </w:r>
      <w:r>
        <w:t>обследований) работников;</w:t>
      </w:r>
    </w:p>
    <w:p w:rsidR="0022123B" w:rsidRDefault="004772D6" w:rsidP="007C2847">
      <w:pPr>
        <w:pStyle w:val="Bodytext20"/>
        <w:shd w:val="clear" w:color="auto" w:fill="auto"/>
        <w:tabs>
          <w:tab w:val="left" w:pos="1018"/>
        </w:tabs>
        <w:spacing w:before="0" w:line="360" w:lineRule="auto"/>
        <w:ind w:firstLine="600"/>
      </w:pPr>
      <w:r>
        <w:t>ж)</w:t>
      </w:r>
      <w:r>
        <w:tab/>
        <w:t>обеспечение лечебно-профилактическим питанием работников;</w:t>
      </w:r>
    </w:p>
    <w:p w:rsidR="0022123B" w:rsidRDefault="004772D6" w:rsidP="007C2847">
      <w:pPr>
        <w:pStyle w:val="Bodytext20"/>
        <w:shd w:val="clear" w:color="auto" w:fill="auto"/>
        <w:tabs>
          <w:tab w:val="left" w:pos="985"/>
        </w:tabs>
        <w:spacing w:before="0" w:line="360" w:lineRule="auto"/>
        <w:ind w:firstLine="600"/>
      </w:pPr>
      <w:r>
        <w:t>з)</w:t>
      </w:r>
      <w:r>
        <w:tab/>
        <w:t xml:space="preserve">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</w:t>
      </w:r>
      <w:r>
        <w:t>изделий для количественного определения алкоголя в выдыхаемом воздухе, а также для определения наличия психоактивных веществ в моче;</w:t>
      </w:r>
    </w:p>
    <w:p w:rsidR="0022123B" w:rsidRDefault="004772D6" w:rsidP="007C2847">
      <w:pPr>
        <w:pStyle w:val="Bodytext20"/>
        <w:shd w:val="clear" w:color="auto" w:fill="auto"/>
        <w:tabs>
          <w:tab w:val="left" w:pos="980"/>
        </w:tabs>
        <w:spacing w:before="0" w:line="360" w:lineRule="auto"/>
        <w:ind w:firstLine="600"/>
      </w:pPr>
      <w:r>
        <w:t>и)</w:t>
      </w:r>
      <w:r>
        <w:tab/>
        <w:t>приобретение страхователями, осуществляющими пассажирские и грузо</w:t>
      </w:r>
      <w:r>
        <w:lastRenderedPageBreak/>
        <w:t>вые перевозки приборов контроля за режимом труда и отды</w:t>
      </w:r>
      <w:r>
        <w:t>ха водителей (тахографов);</w:t>
      </w:r>
    </w:p>
    <w:p w:rsidR="0022123B" w:rsidRDefault="004772D6" w:rsidP="007C2847">
      <w:pPr>
        <w:pStyle w:val="Bodytext20"/>
        <w:shd w:val="clear" w:color="auto" w:fill="auto"/>
        <w:tabs>
          <w:tab w:val="left" w:pos="1018"/>
        </w:tabs>
        <w:spacing w:before="0" w:line="360" w:lineRule="auto"/>
        <w:ind w:firstLine="600"/>
      </w:pPr>
      <w:r>
        <w:t>к)</w:t>
      </w:r>
      <w:r>
        <w:tab/>
        <w:t>приобретение аптечек для оказания первой помощи;</w:t>
      </w:r>
    </w:p>
    <w:p w:rsidR="0022123B" w:rsidRDefault="004772D6" w:rsidP="007C2847">
      <w:pPr>
        <w:pStyle w:val="Bodytext20"/>
        <w:shd w:val="clear" w:color="auto" w:fill="auto"/>
        <w:tabs>
          <w:tab w:val="left" w:pos="980"/>
        </w:tabs>
        <w:spacing w:before="0" w:line="360" w:lineRule="auto"/>
        <w:ind w:firstLine="600"/>
      </w:pPr>
      <w:r>
        <w:t>л)</w:t>
      </w:r>
      <w:r>
        <w:tab/>
        <w:t>приобретение приборов, устройств, оборудования, предназначенных для контроля за безопасным ведением работ, в том числе на подземных работах;</w:t>
      </w:r>
    </w:p>
    <w:p w:rsidR="0022123B" w:rsidRDefault="004772D6" w:rsidP="007C2847">
      <w:pPr>
        <w:pStyle w:val="Bodytext20"/>
        <w:shd w:val="clear" w:color="auto" w:fill="auto"/>
        <w:tabs>
          <w:tab w:val="left" w:pos="989"/>
        </w:tabs>
        <w:spacing w:before="0" w:line="360" w:lineRule="auto"/>
        <w:ind w:firstLine="600"/>
      </w:pPr>
      <w:r>
        <w:t>м)</w:t>
      </w:r>
      <w:r>
        <w:tab/>
        <w:t xml:space="preserve">приобретение приборов, </w:t>
      </w:r>
      <w:r>
        <w:t>устройств, оборудования, обеспечивающих проведение обучения по вопросам безопасного ведения работ, в том числе горных работ, и действиям в случае аварии или инцидента дистанционную видео- и аудио фиксацию инструктажей, а также хранение результатов такой фи</w:t>
      </w:r>
      <w:r>
        <w:t>ксации;</w:t>
      </w:r>
    </w:p>
    <w:p w:rsidR="0022123B" w:rsidRDefault="004772D6" w:rsidP="007C2847">
      <w:pPr>
        <w:pStyle w:val="Bodytext20"/>
        <w:shd w:val="clear" w:color="auto" w:fill="auto"/>
        <w:tabs>
          <w:tab w:val="left" w:pos="989"/>
        </w:tabs>
        <w:spacing w:before="0" w:line="360" w:lineRule="auto"/>
        <w:ind w:firstLine="600"/>
      </w:pPr>
      <w:r>
        <w:t>н)</w:t>
      </w:r>
      <w:r>
        <w:tab/>
        <w:t>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</w:t>
      </w:r>
      <w:r>
        <w:t>х высшей категории);</w:t>
      </w:r>
    </w:p>
    <w:p w:rsidR="0022123B" w:rsidRDefault="004772D6" w:rsidP="007C2847">
      <w:pPr>
        <w:pStyle w:val="Bodytext20"/>
        <w:shd w:val="clear" w:color="auto" w:fill="auto"/>
        <w:tabs>
          <w:tab w:val="left" w:pos="961"/>
        </w:tabs>
        <w:spacing w:before="0" w:line="360" w:lineRule="auto"/>
        <w:ind w:firstLine="600"/>
      </w:pPr>
      <w:r>
        <w:t>о)</w:t>
      </w:r>
      <w:r>
        <w:tab/>
        <w:t>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</w:t>
      </w:r>
      <w:r w:rsidR="0012500A">
        <w:t>ия</w:t>
      </w:r>
      <w:r>
        <w:t>з</w:t>
      </w:r>
      <w:r>
        <w:t>доровья работников, занятых на работах с вредными и (или) опасными производственными факторами;</w:t>
      </w:r>
    </w:p>
    <w:p w:rsidR="0022123B" w:rsidRDefault="004772D6" w:rsidP="007C2847">
      <w:pPr>
        <w:pStyle w:val="Bodytext20"/>
        <w:shd w:val="clear" w:color="auto" w:fill="auto"/>
        <w:tabs>
          <w:tab w:val="left" w:pos="937"/>
        </w:tabs>
        <w:spacing w:before="0" w:line="360" w:lineRule="auto"/>
        <w:ind w:firstLine="600"/>
      </w:pPr>
      <w:r>
        <w:t>п)</w:t>
      </w:r>
      <w:r>
        <w:tab/>
        <w:t>приобретение приборов, устройств, оборудования (приборы, устройства), обеспечивающих безопасное ведение горных работ, в рамках модернизации основных прои</w:t>
      </w:r>
      <w:r>
        <w:t>зводств;</w:t>
      </w:r>
    </w:p>
    <w:p w:rsidR="0022123B" w:rsidRDefault="004772D6" w:rsidP="007C2847">
      <w:pPr>
        <w:pStyle w:val="Bodytext20"/>
        <w:shd w:val="clear" w:color="auto" w:fill="auto"/>
        <w:tabs>
          <w:tab w:val="left" w:pos="932"/>
        </w:tabs>
        <w:spacing w:before="0" w:line="360" w:lineRule="auto"/>
        <w:ind w:firstLine="600"/>
      </w:pPr>
      <w:r>
        <w:t>р)</w:t>
      </w:r>
      <w:r>
        <w:tab/>
        <w:t>обеспечение бесплатной выдачей молока или других равноценных пищевых продуктов.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00"/>
      </w:pPr>
      <w:r>
        <w:t xml:space="preserve">Страхователю с заявлением о финансовом обеспечении предупредительных мер необходимо обратиться в территориальный орган Фонда по месту своей регистрации в срок до 1 </w:t>
      </w:r>
      <w:r>
        <w:t>августа текущего календарного года.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00"/>
      </w:pPr>
      <w:r>
        <w:t>В случае неполного использования указанных средств страхователь сообщает об этом в территориальный орган Фонда по месту своей регистрации до 10 октября текущего года.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00"/>
      </w:pPr>
      <w:r>
        <w:t>Кроме того, страхователь в срок до 20 ноября текущего</w:t>
      </w:r>
      <w:r>
        <w:t xml:space="preserve"> финансового года </w:t>
      </w:r>
      <w:r w:rsidRPr="007C2847">
        <w:rPr>
          <w:u w:val="single"/>
        </w:rPr>
        <w:t>име</w:t>
      </w:r>
      <w:r w:rsidRPr="007C2847">
        <w:rPr>
          <w:u w:val="single"/>
        </w:rPr>
        <w:lastRenderedPageBreak/>
        <w:t>ет право</w:t>
      </w:r>
      <w:r>
        <w:t xml:space="preserve"> обратиться в территориальный орган Фонда по месту своей регистрации с заявлением о внесении изменений в план финансового обеспечения с обоснованием необходимости внесения изменений в план финансового обеспечения и предоставлен</w:t>
      </w:r>
      <w:r>
        <w:t>ие полного комплекта документов, предусмотренных пунктами 4-6 Правил, для обоснования предупредительных мер, по которым в план финансового обеспечения вносятся изменения.</w:t>
      </w:r>
    </w:p>
    <w:p w:rsidR="0022123B" w:rsidRDefault="004772D6" w:rsidP="007C2847">
      <w:pPr>
        <w:pStyle w:val="Bodytext20"/>
        <w:shd w:val="clear" w:color="auto" w:fill="auto"/>
        <w:spacing w:before="0" w:line="360" w:lineRule="auto"/>
        <w:ind w:firstLine="600"/>
      </w:pPr>
      <w:r>
        <w:t>Расходы, фактически произведенные страхователем, но не подтвержденные документами о ц</w:t>
      </w:r>
      <w:r>
        <w:t>елевом использовании средств либо произведенные на основании неправильно оформленных или выданных с нарушением установленного порядка документов, не подлежат возмещению.</w:t>
      </w:r>
    </w:p>
    <w:p w:rsidR="0022123B" w:rsidRPr="00C94E2C" w:rsidRDefault="004772D6" w:rsidP="007C2847">
      <w:pPr>
        <w:pStyle w:val="Bodytext20"/>
        <w:shd w:val="clear" w:color="auto" w:fill="auto"/>
        <w:spacing w:before="0" w:line="360" w:lineRule="auto"/>
        <w:ind w:firstLine="600"/>
      </w:pPr>
      <w:r>
        <w:t>Напоминаем, что в настоящее время обратиться с заявлением на финансовое обеспечение пр</w:t>
      </w:r>
      <w:r>
        <w:t xml:space="preserve">едупредительных мер можно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по адресу в сети Интернет </w:t>
      </w:r>
      <w:r w:rsidR="00C94E2C">
        <w:t>–</w:t>
      </w:r>
      <w:r>
        <w:t xml:space="preserve"> </w:t>
      </w:r>
      <w:r w:rsidR="00C94E2C">
        <w:rPr>
          <w:rStyle w:val="Bodytext21"/>
          <w:lang w:val="en-US"/>
        </w:rPr>
        <w:t>www</w:t>
      </w:r>
      <w:r w:rsidR="00C94E2C" w:rsidRPr="00C94E2C">
        <w:rPr>
          <w:rStyle w:val="Bodytext21"/>
        </w:rPr>
        <w:t>.</w:t>
      </w:r>
      <w:r w:rsidR="00C94E2C">
        <w:rPr>
          <w:rStyle w:val="Bodytext21"/>
          <w:lang w:val="en-US"/>
        </w:rPr>
        <w:t>gosuslugi</w:t>
      </w:r>
      <w:r w:rsidR="00C94E2C" w:rsidRPr="00C94E2C">
        <w:rPr>
          <w:rStyle w:val="Bodytext21"/>
        </w:rPr>
        <w:t>.</w:t>
      </w:r>
      <w:r w:rsidR="00C94E2C">
        <w:rPr>
          <w:rStyle w:val="Bodytext21"/>
          <w:lang w:val="en-US"/>
        </w:rPr>
        <w:t>ru</w:t>
      </w:r>
    </w:p>
    <w:p w:rsidR="0022123B" w:rsidRPr="007C2847" w:rsidRDefault="004772D6" w:rsidP="007C2847">
      <w:pPr>
        <w:pStyle w:val="Bodytext20"/>
        <w:shd w:val="clear" w:color="auto" w:fill="auto"/>
        <w:tabs>
          <w:tab w:val="left" w:pos="856"/>
        </w:tabs>
        <w:spacing w:before="0" w:line="360" w:lineRule="auto"/>
        <w:ind w:firstLine="600"/>
      </w:pPr>
      <w:r>
        <w:t xml:space="preserve">Дополнительную консультацию можно получить по </w:t>
      </w:r>
      <w:r w:rsidR="007C2847">
        <w:t>телефонам 8843(221-50-</w:t>
      </w:r>
      <w:r w:rsidR="00C94E2C">
        <w:t>56),</w:t>
      </w:r>
      <w:r w:rsidR="00C94E2C" w:rsidRPr="00C94E2C">
        <w:t xml:space="preserve"> </w:t>
      </w:r>
      <w:r w:rsidR="007C2847">
        <w:t>8843(221-50-</w:t>
      </w:r>
      <w:r>
        <w:t>42), либо обратившись на адрес электронной почты</w:t>
      </w:r>
      <w:r w:rsidR="007C2847" w:rsidRPr="007C2847">
        <w:t xml:space="preserve"> </w:t>
      </w:r>
      <w:r w:rsidR="007C2847">
        <w:rPr>
          <w:rStyle w:val="Bodytext21"/>
          <w:lang w:val="en-US"/>
        </w:rPr>
        <w:t>vred</w:t>
      </w:r>
      <w:r w:rsidR="007C2847" w:rsidRPr="007C2847">
        <w:rPr>
          <w:rStyle w:val="Bodytext21"/>
        </w:rPr>
        <w:t>@</w:t>
      </w:r>
      <w:r w:rsidR="007C2847">
        <w:rPr>
          <w:rStyle w:val="Bodytext21"/>
          <w:lang w:val="en-US"/>
        </w:rPr>
        <w:t>ro</w:t>
      </w:r>
      <w:r w:rsidR="007C2847" w:rsidRPr="007C2847">
        <w:rPr>
          <w:rStyle w:val="Bodytext21"/>
        </w:rPr>
        <w:t>16.</w:t>
      </w:r>
      <w:r w:rsidR="007C2847">
        <w:rPr>
          <w:rStyle w:val="Bodytext21"/>
          <w:lang w:val="en-US"/>
        </w:rPr>
        <w:t>fss</w:t>
      </w:r>
      <w:r w:rsidR="007C2847" w:rsidRPr="007C2847">
        <w:rPr>
          <w:rStyle w:val="Bodytext21"/>
        </w:rPr>
        <w:t>.</w:t>
      </w:r>
      <w:r w:rsidR="007C2847">
        <w:rPr>
          <w:rStyle w:val="Bodytext21"/>
          <w:lang w:val="en-US"/>
        </w:rPr>
        <w:t>ru</w:t>
      </w:r>
      <w:r w:rsidR="007C2847" w:rsidRPr="007C2847">
        <w:rPr>
          <w:rStyle w:val="Bodytext21"/>
        </w:rPr>
        <w:t>.</w:t>
      </w:r>
      <w:bookmarkStart w:id="0" w:name="_GoBack"/>
      <w:bookmarkEnd w:id="0"/>
    </w:p>
    <w:sectPr w:rsidR="0022123B" w:rsidRPr="007C2847" w:rsidSect="000F47E5">
      <w:headerReference w:type="even" r:id="rId7"/>
      <w:pgSz w:w="11900" w:h="16840"/>
      <w:pgMar w:top="1123" w:right="629" w:bottom="1123" w:left="114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D6" w:rsidRDefault="004772D6">
      <w:r>
        <w:separator/>
      </w:r>
    </w:p>
  </w:endnote>
  <w:endnote w:type="continuationSeparator" w:id="0">
    <w:p w:rsidR="004772D6" w:rsidRDefault="0047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D6" w:rsidRDefault="004772D6"/>
  </w:footnote>
  <w:footnote w:type="continuationSeparator" w:id="0">
    <w:p w:rsidR="004772D6" w:rsidRDefault="004772D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3B" w:rsidRDefault="004772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3pt;margin-top:40.05pt;width:4.3pt;height:6.7pt;z-index:-18874406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22123B" w:rsidRDefault="004772D6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A5327" w:rsidRPr="002A5327">
                  <w:rPr>
                    <w:rStyle w:val="Headerorfooter1"/>
                    <w:noProof/>
                  </w:rPr>
                  <w:t>4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123B"/>
    <w:rsid w:val="000F47E5"/>
    <w:rsid w:val="0012500A"/>
    <w:rsid w:val="0022123B"/>
    <w:rsid w:val="002A5327"/>
    <w:rsid w:val="004772D6"/>
    <w:rsid w:val="007C2847"/>
    <w:rsid w:val="00C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E64BB3"/>
  <w15:docId w15:val="{3FAB4F1F-9717-4CE0-8F63-37CD7526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Heading1TimesNewRoman17ptItalicSpacing0pt">
    <w:name w:val="Heading #1 + Times New Roman;17 pt;Italic;Spacing 0 pt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11">
    <w:name w:val="Heading #1"/>
    <w:basedOn w:val="Heading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1TimesNewRoman25ptSpacing0pt">
    <w:name w:val="Heading #1 + Times New Roman;25 pt;Spacing 0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single"/>
      <w:lang w:val="ru-RU" w:eastAsia="ru-RU" w:bidi="ru-RU"/>
    </w:rPr>
  </w:style>
  <w:style w:type="character" w:customStyle="1" w:styleId="Heading12">
    <w:name w:val="Heading #1"/>
    <w:basedOn w:val="Heading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after="540" w:line="0" w:lineRule="atLeas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0" w:line="0" w:lineRule="atLeast"/>
      <w:outlineLvl w:val="0"/>
    </w:pPr>
    <w:rPr>
      <w:rFonts w:ascii="Impact" w:eastAsia="Impact" w:hAnsi="Impact" w:cs="Impact"/>
      <w:spacing w:val="-10"/>
      <w:sz w:val="18"/>
      <w:szCs w:val="1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780"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7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footer"/>
    <w:basedOn w:val="a"/>
    <w:link w:val="a5"/>
    <w:uiPriority w:val="99"/>
    <w:unhideWhenUsed/>
    <w:rsid w:val="00125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2500A"/>
    <w:rPr>
      <w:color w:val="000000"/>
    </w:rPr>
  </w:style>
  <w:style w:type="paragraph" w:styleId="a6">
    <w:name w:val="header"/>
    <w:basedOn w:val="a"/>
    <w:link w:val="a7"/>
    <w:uiPriority w:val="99"/>
    <w:unhideWhenUsed/>
    <w:rsid w:val="00125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500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7F77-A845-48EA-9D30-316B6CF1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HP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HP</cp:lastModifiedBy>
  <cp:revision>2</cp:revision>
  <dcterms:created xsi:type="dcterms:W3CDTF">2023-04-13T10:19:00Z</dcterms:created>
  <dcterms:modified xsi:type="dcterms:W3CDTF">2023-04-13T11:13:00Z</dcterms:modified>
</cp:coreProperties>
</file>