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 </w:t>
      </w:r>
    </w:p>
    <w:p>
      <w:pPr>
        <w:pStyle w:val="Normal"/>
        <w:ind w:left="5812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</w:p>
    <w:p>
      <w:pPr>
        <w:pStyle w:val="Normal"/>
        <w:ind w:left="6804" w:hanging="0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</w:r>
    </w:p>
    <w:p>
      <w:pPr>
        <w:pStyle w:val="Normal"/>
        <w:ind w:left="581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к оформлению презентации проекта / событийного мероприятия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i/>
          <w:sz w:val="22"/>
          <w:szCs w:val="22"/>
        </w:rPr>
        <w:t xml:space="preserve">предусмотрены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</w:t>
        <w:br/>
        <w:t xml:space="preserve">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утвержденного постановлением Кабинета Министров Республики </w:t>
        <w:br/>
        <w:t>Татарстан от ____2024 № ____ )</w:t>
      </w:r>
    </w:p>
    <w:p>
      <w:pPr>
        <w:pStyle w:val="Normal"/>
        <w:ind w:left="4678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12"/>
        <w:gridCol w:w="8788"/>
      </w:tblGrid>
      <w:tr>
        <w:trPr/>
        <w:tc>
          <w:tcPr>
            <w:tcW w:w="14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Слайд 1</w:t>
            </w:r>
          </w:p>
        </w:tc>
        <w:tc>
          <w:tcPr>
            <w:tcW w:w="878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проекта / событийного мероприятия, наименование юридического лица или фамилия, имя, отчество (при наличии) индивидуального предпринимателя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Слайд 2</w:t>
            </w:r>
          </w:p>
        </w:tc>
        <w:tc>
          <w:tcPr>
            <w:tcW w:w="878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Описание идеи проекта / событийного мероприятия, выбранного в соответствии с пунктами 11 –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утвержденного постановлением Кабинета Министров Республики Татарстан от ____ 2024 </w:t>
              <w:br/>
              <w:t>№ 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го-сударственной программы Российской Федерации «Развитие туризма» на территории Республики Татарстан»,  и объявления о проведении отбора, его целевой аудитории, наличия взаимосвязи с туристскими маршрутами, объектами показа и иными точками притяжения туристов, достижение значения результатов предоставления субсидии, соответствующих целям предоставления субсидии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Слайд 3</w:t>
            </w:r>
          </w:p>
        </w:tc>
        <w:tc>
          <w:tcPr>
            <w:tcW w:w="878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Карта-схема местоположения создаваемого проекта / проведения событийного мероприятия с указанием и обозначением близлежащих объектов туристской инфраструктуры и взаимосвязи с туристскими маршрутами (туристическими центрами) Республики Татарстан, описанием транспортной доступности (расстояние до муниципалитета, крупного города, аэропорта, вокзала, федеральной и региональной трассы), фотографии места реализации проекта / событийного мероприятия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Слайд 4</w:t>
            </w:r>
          </w:p>
        </w:tc>
        <w:tc>
          <w:tcPr>
            <w:tcW w:w="878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Ресурсное обеспечение реализации проекта / событийного мероприятия, где указываются: потребность в софинансировании, источники и структура финансирования проекта / событийного мероприятия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Слайд 5</w:t>
            </w:r>
          </w:p>
        </w:tc>
        <w:tc>
          <w:tcPr>
            <w:tcW w:w="878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Эскиз проекта / визуального стиля и оформления событийного мероприятия с указанием результатов реализации проекта / событийного мероприятия (визуализация, сметный расчет с экономическим эффектом)</w:t>
            </w:r>
          </w:p>
        </w:tc>
      </w:tr>
    </w:tbl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0674448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1f71"/>
    <w:pPr>
      <w:widowControl w:val="false"/>
      <w:suppressAutoHyphens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aa548c"/>
    <w:pPr>
      <w:widowControl/>
      <w:pBdr/>
      <w:spacing w:lineRule="auto" w:line="264" w:before="120" w:after="120"/>
      <w:outlineLvl w:val="0"/>
    </w:pPr>
    <w:rPr>
      <w:rFonts w:ascii="XO Thames" w:hAnsi="XO Thames" w:eastAsia="XO Thames" w:cs="XO Thame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9823c8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b0c0b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aa548c"/>
    <w:rPr>
      <w:rFonts w:ascii="XO Thames" w:hAnsi="XO Thames" w:eastAsia="XO Thames" w:cs="XO Thames"/>
      <w:b/>
      <w:color w:val="000000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a548c"/>
    <w:rPr/>
  </w:style>
  <w:style w:type="character" w:styleId="Style14">
    <w:name w:val="FollowedHyperlink"/>
    <w:basedOn w:val="DefaultParagraphFont"/>
    <w:uiPriority w:val="99"/>
    <w:semiHidden/>
    <w:unhideWhenUsed/>
    <w:rsid w:val="000f6deb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f6deb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5749c"/>
    <w:rPr>
      <w:color w:val="80808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e4ffa"/>
    <w:rPr>
      <w:rFonts w:ascii="Liberation Serif" w:hAnsi="Liberation Serif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823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823c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1d3d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a548c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f6deb"/>
    <w:pPr/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8e4f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a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45D-DFA5-4F3F-85B6-09D1034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368</Words>
  <Characters>2903</Characters>
  <CharactersWithSpaces>3255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2024-06-26T09:55:00Z</dcterms:created>
  <dc:creator>Бадрутдинова А.Р.</dc:creator>
  <dc:description/>
  <dc:language>ru-RU</dc:language>
  <cp:lastModifiedBy/>
  <cp:lastPrinted>2024-04-03T15:16:00Z</cp:lastPrinted>
  <dcterms:modified xsi:type="dcterms:W3CDTF">2024-07-10T16:27:35Z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