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744" w:rsidRPr="00A20494" w:rsidRDefault="00A20494" w:rsidP="00A20494">
      <w:pPr>
        <w:jc w:val="center"/>
        <w:rPr>
          <w:b/>
          <w:bCs/>
          <w:sz w:val="28"/>
          <w:szCs w:val="28"/>
          <w:lang w:val="tt-RU"/>
        </w:rPr>
      </w:pPr>
      <w:r w:rsidRPr="00A20494">
        <w:rPr>
          <w:sz w:val="28"/>
          <w:szCs w:val="28"/>
        </w:rPr>
        <w:t>О Дне поставщика</w:t>
      </w:r>
      <w:r w:rsidRPr="00A20494">
        <w:rPr>
          <w:sz w:val="28"/>
          <w:szCs w:val="28"/>
          <w:lang w:val="tt-RU"/>
        </w:rPr>
        <w:t>.</w:t>
      </w:r>
    </w:p>
    <w:p w:rsidR="009B2744" w:rsidRPr="00A20494" w:rsidRDefault="009B2744">
      <w:pPr>
        <w:ind w:firstLine="708"/>
        <w:jc w:val="both"/>
        <w:rPr>
          <w:b/>
          <w:bCs/>
          <w:sz w:val="28"/>
          <w:szCs w:val="28"/>
        </w:rPr>
      </w:pPr>
    </w:p>
    <w:p w:rsidR="009B2744" w:rsidRPr="00A20494" w:rsidRDefault="00A20494">
      <w:pPr>
        <w:spacing w:line="276" w:lineRule="auto"/>
        <w:ind w:firstLine="708"/>
        <w:jc w:val="both"/>
        <w:rPr>
          <w:sz w:val="28"/>
          <w:szCs w:val="28"/>
        </w:rPr>
      </w:pPr>
      <w:bookmarkStart w:id="0" w:name="_GoBack"/>
      <w:r w:rsidRPr="00A20494">
        <w:rPr>
          <w:sz w:val="28"/>
          <w:szCs w:val="28"/>
        </w:rPr>
        <w:t xml:space="preserve">В целях расширения сбыта продукции республиканских производителей </w:t>
      </w:r>
      <w:r w:rsidRPr="00A20494">
        <w:rPr>
          <w:sz w:val="28"/>
          <w:szCs w:val="28"/>
        </w:rPr>
        <w:br/>
      </w:r>
      <w:r w:rsidRPr="00A20494">
        <w:rPr>
          <w:b/>
          <w:bCs/>
          <w:sz w:val="28"/>
          <w:szCs w:val="28"/>
        </w:rPr>
        <w:t xml:space="preserve">1 </w:t>
      </w:r>
      <w:r w:rsidRPr="00A20494">
        <w:rPr>
          <w:b/>
          <w:bCs/>
          <w:sz w:val="28"/>
          <w:szCs w:val="28"/>
        </w:rPr>
        <w:t>октября 2025 года в 13:00</w:t>
      </w:r>
      <w:r w:rsidRPr="00A20494">
        <w:rPr>
          <w:sz w:val="28"/>
          <w:szCs w:val="28"/>
        </w:rPr>
        <w:t xml:space="preserve"> на площадке МВЦ «Казань Экспо» </w:t>
      </w:r>
      <w:r w:rsidRPr="00A20494">
        <w:rPr>
          <w:sz w:val="28"/>
          <w:szCs w:val="28"/>
        </w:rPr>
        <w:br/>
        <w:t xml:space="preserve">Министерство экономики Республики Татарстан организует </w:t>
      </w:r>
      <w:r w:rsidRPr="00A20494">
        <w:rPr>
          <w:b/>
          <w:bCs/>
          <w:sz w:val="28"/>
          <w:szCs w:val="28"/>
        </w:rPr>
        <w:t>День поставщика</w:t>
      </w:r>
      <w:r w:rsidRPr="00A20494">
        <w:rPr>
          <w:sz w:val="28"/>
          <w:szCs w:val="28"/>
        </w:rPr>
        <w:t>. Мероприятие пройдёт в рамках Глобального форума «ТЕМП».</w:t>
      </w:r>
    </w:p>
    <w:p w:rsidR="009B2744" w:rsidRPr="00A20494" w:rsidRDefault="00A20494">
      <w:pPr>
        <w:spacing w:line="276" w:lineRule="auto"/>
        <w:ind w:firstLine="708"/>
        <w:jc w:val="both"/>
        <w:rPr>
          <w:sz w:val="28"/>
          <w:szCs w:val="28"/>
        </w:rPr>
      </w:pPr>
      <w:r w:rsidRPr="00A20494">
        <w:rPr>
          <w:sz w:val="28"/>
          <w:szCs w:val="28"/>
        </w:rPr>
        <w:t xml:space="preserve">В мероприятии в качестве заказчиков примут участие компании: </w:t>
      </w:r>
    </w:p>
    <w:p w:rsidR="009B2744" w:rsidRPr="00A20494" w:rsidRDefault="00A20494">
      <w:pPr>
        <w:numPr>
          <w:ilvl w:val="0"/>
          <w:numId w:val="2"/>
        </w:numPr>
        <w:spacing w:line="276" w:lineRule="auto"/>
        <w:rPr>
          <w:b/>
          <w:bCs/>
          <w:sz w:val="28"/>
          <w:szCs w:val="28"/>
        </w:rPr>
      </w:pPr>
      <w:r w:rsidRPr="00A20494">
        <w:rPr>
          <w:b/>
          <w:bCs/>
          <w:sz w:val="28"/>
          <w:szCs w:val="28"/>
        </w:rPr>
        <w:t>АО «</w:t>
      </w:r>
      <w:r w:rsidRPr="00A20494">
        <w:rPr>
          <w:b/>
          <w:bCs/>
          <w:sz w:val="28"/>
          <w:szCs w:val="28"/>
        </w:rPr>
        <w:t>АВТОВАЗ»,</w:t>
      </w:r>
    </w:p>
    <w:p w:rsidR="009B2744" w:rsidRPr="00A20494" w:rsidRDefault="00A20494">
      <w:pPr>
        <w:numPr>
          <w:ilvl w:val="0"/>
          <w:numId w:val="2"/>
        </w:numPr>
        <w:spacing w:line="276" w:lineRule="auto"/>
        <w:rPr>
          <w:sz w:val="28"/>
          <w:szCs w:val="28"/>
        </w:rPr>
      </w:pPr>
      <w:r w:rsidRPr="00A20494">
        <w:rPr>
          <w:b/>
          <w:bCs/>
          <w:sz w:val="28"/>
          <w:szCs w:val="28"/>
        </w:rPr>
        <w:t>ФГУП «Казанский завод точного машиностроения им. Калинина»,</w:t>
      </w:r>
    </w:p>
    <w:p w:rsidR="009B2744" w:rsidRPr="00A20494" w:rsidRDefault="00A20494">
      <w:pPr>
        <w:numPr>
          <w:ilvl w:val="0"/>
          <w:numId w:val="2"/>
        </w:numPr>
        <w:spacing w:line="276" w:lineRule="auto"/>
        <w:rPr>
          <w:b/>
          <w:bCs/>
          <w:sz w:val="28"/>
          <w:szCs w:val="28"/>
        </w:rPr>
      </w:pPr>
      <w:r w:rsidRPr="00A20494">
        <w:rPr>
          <w:b/>
          <w:bCs/>
          <w:sz w:val="28"/>
          <w:szCs w:val="28"/>
        </w:rPr>
        <w:t xml:space="preserve">Казанский авиационный завод имени С.П. Горбунова – </w:t>
      </w:r>
      <w:r w:rsidRPr="00A20494">
        <w:rPr>
          <w:b/>
          <w:bCs/>
          <w:sz w:val="28"/>
          <w:szCs w:val="28"/>
        </w:rPr>
        <w:br/>
        <w:t>филиал ОАО «Туполев»</w:t>
      </w:r>
    </w:p>
    <w:p w:rsidR="009B2744" w:rsidRPr="00A20494" w:rsidRDefault="00A20494">
      <w:pPr>
        <w:spacing w:line="276" w:lineRule="auto"/>
        <w:ind w:firstLine="708"/>
        <w:jc w:val="both"/>
        <w:rPr>
          <w:sz w:val="28"/>
          <w:szCs w:val="28"/>
        </w:rPr>
      </w:pPr>
      <w:r w:rsidRPr="00A20494">
        <w:rPr>
          <w:sz w:val="28"/>
          <w:szCs w:val="28"/>
        </w:rPr>
        <w:t>Для участников мероприятия будут организованы В2В переговоры с компаниями для</w:t>
      </w:r>
      <w:r w:rsidRPr="00A20494">
        <w:rPr>
          <w:sz w:val="28"/>
          <w:szCs w:val="28"/>
        </w:rPr>
        <w:t xml:space="preserve"> </w:t>
      </w:r>
      <w:r w:rsidRPr="00A20494">
        <w:rPr>
          <w:sz w:val="28"/>
          <w:szCs w:val="28"/>
        </w:rPr>
        <w:t>презентации своей продукции и уточн</w:t>
      </w:r>
      <w:r w:rsidRPr="00A20494">
        <w:rPr>
          <w:sz w:val="28"/>
          <w:szCs w:val="28"/>
        </w:rPr>
        <w:t>ения условий поставок.</w:t>
      </w:r>
    </w:p>
    <w:p w:rsidR="009B2744" w:rsidRPr="00A20494" w:rsidRDefault="00A20494">
      <w:pPr>
        <w:spacing w:line="276" w:lineRule="auto"/>
        <w:ind w:firstLine="708"/>
        <w:jc w:val="both"/>
        <w:rPr>
          <w:sz w:val="28"/>
          <w:szCs w:val="28"/>
        </w:rPr>
      </w:pPr>
      <w:r w:rsidRPr="00A20494">
        <w:rPr>
          <w:sz w:val="28"/>
          <w:szCs w:val="28"/>
        </w:rPr>
        <w:t>Программа мероприятия в приложении, участие бесплатное</w:t>
      </w:r>
      <w:hyperlink r:id="rId7" w:history="1"/>
      <w:r w:rsidRPr="00A20494">
        <w:rPr>
          <w:sz w:val="28"/>
          <w:szCs w:val="28"/>
        </w:rPr>
        <w:t xml:space="preserve">. Для участия необходимо пройти общую регистрацию в качестве посетителя форума на сайте: </w:t>
      </w:r>
      <w:hyperlink r:id="rId8" w:history="1">
        <w:r w:rsidRPr="00A20494">
          <w:rPr>
            <w:rStyle w:val="17"/>
            <w:sz w:val="28"/>
            <w:szCs w:val="28"/>
          </w:rPr>
          <w:t>https://tempkazan.ru/</w:t>
        </w:r>
      </w:hyperlink>
      <w:r w:rsidRPr="00A20494">
        <w:rPr>
          <w:sz w:val="28"/>
          <w:szCs w:val="28"/>
        </w:rPr>
        <w:t>.</w:t>
      </w:r>
    </w:p>
    <w:p w:rsidR="009B2744" w:rsidRPr="00A20494" w:rsidRDefault="00A20494">
      <w:pPr>
        <w:spacing w:line="276" w:lineRule="auto"/>
        <w:ind w:firstLine="708"/>
        <w:jc w:val="both"/>
        <w:rPr>
          <w:sz w:val="28"/>
          <w:szCs w:val="28"/>
        </w:rPr>
      </w:pPr>
      <w:r w:rsidRPr="00A20494">
        <w:rPr>
          <w:sz w:val="28"/>
          <w:szCs w:val="28"/>
        </w:rPr>
        <w:t xml:space="preserve">Контактное лицо по вопросам организации мероприятия – Салихов </w:t>
      </w:r>
      <w:proofErr w:type="spellStart"/>
      <w:r w:rsidRPr="00A20494">
        <w:rPr>
          <w:sz w:val="28"/>
          <w:szCs w:val="28"/>
        </w:rPr>
        <w:t>Азат</w:t>
      </w:r>
      <w:proofErr w:type="spellEnd"/>
      <w:r w:rsidRPr="00A20494">
        <w:rPr>
          <w:sz w:val="28"/>
          <w:szCs w:val="28"/>
        </w:rPr>
        <w:t xml:space="preserve"> </w:t>
      </w:r>
      <w:proofErr w:type="spellStart"/>
      <w:r w:rsidRPr="00A20494">
        <w:rPr>
          <w:sz w:val="28"/>
          <w:szCs w:val="28"/>
        </w:rPr>
        <w:t>Алмазович</w:t>
      </w:r>
      <w:proofErr w:type="spellEnd"/>
      <w:r w:rsidRPr="00A20494">
        <w:rPr>
          <w:sz w:val="28"/>
          <w:szCs w:val="28"/>
        </w:rPr>
        <w:t>, руко</w:t>
      </w:r>
      <w:r w:rsidRPr="00A20494">
        <w:rPr>
          <w:sz w:val="28"/>
          <w:szCs w:val="28"/>
        </w:rPr>
        <w:t xml:space="preserve">водитель службы коммуникативных мероприятий </w:t>
      </w:r>
      <w:r w:rsidRPr="00A20494">
        <w:rPr>
          <w:sz w:val="28"/>
          <w:szCs w:val="28"/>
        </w:rPr>
        <w:br/>
        <w:t>АНО «ЦКР «</w:t>
      </w:r>
      <w:proofErr w:type="spellStart"/>
      <w:r w:rsidRPr="00A20494">
        <w:rPr>
          <w:sz w:val="28"/>
          <w:szCs w:val="28"/>
        </w:rPr>
        <w:t>Иннокам</w:t>
      </w:r>
      <w:proofErr w:type="spellEnd"/>
      <w:r w:rsidRPr="00A20494">
        <w:rPr>
          <w:sz w:val="28"/>
          <w:szCs w:val="28"/>
        </w:rPr>
        <w:t>», тел.: 8 (965) 590 59 72, e-</w:t>
      </w:r>
      <w:proofErr w:type="spellStart"/>
      <w:r w:rsidRPr="00A20494">
        <w:rPr>
          <w:sz w:val="28"/>
          <w:szCs w:val="28"/>
        </w:rPr>
        <w:t>mail</w:t>
      </w:r>
      <w:proofErr w:type="spellEnd"/>
      <w:r w:rsidRPr="00A20494">
        <w:rPr>
          <w:sz w:val="28"/>
          <w:szCs w:val="28"/>
        </w:rPr>
        <w:t>: salikhov@innokam.ru</w:t>
      </w:r>
      <w:bookmarkEnd w:id="0"/>
      <w:r w:rsidRPr="00A20494">
        <w:rPr>
          <w:sz w:val="28"/>
          <w:szCs w:val="28"/>
        </w:rPr>
        <w:t>.</w:t>
      </w:r>
    </w:p>
    <w:p w:rsidR="009B2744" w:rsidRPr="00A20494" w:rsidRDefault="009B2744">
      <w:pPr>
        <w:jc w:val="both"/>
        <w:rPr>
          <w:sz w:val="28"/>
          <w:szCs w:val="28"/>
        </w:rPr>
      </w:pPr>
    </w:p>
    <w:p w:rsidR="009B2744" w:rsidRPr="00A20494" w:rsidRDefault="00A20494">
      <w:pPr>
        <w:rPr>
          <w:sz w:val="28"/>
          <w:szCs w:val="28"/>
          <w:lang w:val="tt-RU"/>
        </w:rPr>
      </w:pPr>
      <w:r w:rsidRPr="00A20494">
        <w:rPr>
          <w:sz w:val="28"/>
          <w:szCs w:val="28"/>
          <w:lang w:val="tt-RU"/>
        </w:rPr>
        <w:t>ү</w:t>
      </w:r>
    </w:p>
    <w:sectPr w:rsidR="009B2744" w:rsidRPr="00A20494">
      <w:headerReference w:type="default" r:id="rId9"/>
      <w:headerReference w:type="first" r:id="rId10"/>
      <w:pgSz w:w="11906" w:h="16838"/>
      <w:pgMar w:top="340" w:right="567" w:bottom="426" w:left="1134" w:header="284" w:footer="709"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744" w:rsidRDefault="00A20494">
      <w:r>
        <w:separator/>
      </w:r>
    </w:p>
  </w:endnote>
  <w:endnote w:type="continuationSeparator" w:id="0">
    <w:p w:rsidR="009B2744" w:rsidRDefault="00A2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Mangal"/>
    <w:panose1 w:val="020B0604020202020204"/>
    <w:charset w:val="CC"/>
    <w:family w:val="swiss"/>
    <w:pitch w:val="variable"/>
    <w:sig w:usb0="E0002EFF" w:usb1="C0007843" w:usb2="00000009" w:usb3="00000000" w:csb0="000001FF" w:csb1="00000000"/>
  </w:font>
  <w:font w:name="PT Astra Serif">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auto"/>
    <w:pitch w:val="default"/>
  </w:font>
  <w:font w:name="Tahoma">
    <w:altName w:val="Verdan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744" w:rsidRDefault="00A20494">
      <w:r>
        <w:separator/>
      </w:r>
    </w:p>
  </w:footnote>
  <w:footnote w:type="continuationSeparator" w:id="0">
    <w:p w:rsidR="009B2744" w:rsidRDefault="00A204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44" w:rsidRDefault="009B2744">
    <w:pPr>
      <w:pStyle w:val="ac"/>
      <w:jc w:val="center"/>
    </w:pPr>
  </w:p>
  <w:p w:rsidR="009B2744" w:rsidRDefault="009B2744">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44" w:rsidRDefault="009B274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65852"/>
    <w:multiLevelType w:val="hybridMultilevel"/>
    <w:tmpl w:val="05201E96"/>
    <w:lvl w:ilvl="0" w:tplc="B106BDF4">
      <w:start w:val="1"/>
      <w:numFmt w:val="bullet"/>
      <w:lvlText w:val=""/>
      <w:lvlJc w:val="left"/>
      <w:pPr>
        <w:ind w:left="1428" w:hanging="360"/>
      </w:pPr>
      <w:rPr>
        <w:rFonts w:ascii="Symbol" w:hAnsi="Symbol"/>
      </w:rPr>
    </w:lvl>
    <w:lvl w:ilvl="1" w:tplc="B34E6A88">
      <w:start w:val="1"/>
      <w:numFmt w:val="bullet"/>
      <w:lvlText w:val="o"/>
      <w:lvlJc w:val="left"/>
      <w:pPr>
        <w:ind w:left="2148" w:hanging="360"/>
      </w:pPr>
      <w:rPr>
        <w:rFonts w:ascii="Courier New" w:hAnsi="Courier New" w:cs="Courier New"/>
      </w:rPr>
    </w:lvl>
    <w:lvl w:ilvl="2" w:tplc="843C83F2">
      <w:start w:val="1"/>
      <w:numFmt w:val="bullet"/>
      <w:lvlText w:val=""/>
      <w:lvlJc w:val="left"/>
      <w:pPr>
        <w:ind w:left="2868" w:hanging="360"/>
      </w:pPr>
      <w:rPr>
        <w:rFonts w:ascii="Wingdings" w:hAnsi="Wingdings"/>
      </w:rPr>
    </w:lvl>
    <w:lvl w:ilvl="3" w:tplc="81CCE094">
      <w:start w:val="1"/>
      <w:numFmt w:val="bullet"/>
      <w:lvlText w:val=""/>
      <w:lvlJc w:val="left"/>
      <w:pPr>
        <w:ind w:left="3588" w:hanging="360"/>
      </w:pPr>
      <w:rPr>
        <w:rFonts w:ascii="Symbol" w:hAnsi="Symbol"/>
      </w:rPr>
    </w:lvl>
    <w:lvl w:ilvl="4" w:tplc="2848B964">
      <w:start w:val="1"/>
      <w:numFmt w:val="bullet"/>
      <w:lvlText w:val="o"/>
      <w:lvlJc w:val="left"/>
      <w:pPr>
        <w:ind w:left="4308" w:hanging="360"/>
      </w:pPr>
      <w:rPr>
        <w:rFonts w:ascii="Courier New" w:hAnsi="Courier New" w:cs="Courier New"/>
      </w:rPr>
    </w:lvl>
    <w:lvl w:ilvl="5" w:tplc="DD92A6C4">
      <w:start w:val="1"/>
      <w:numFmt w:val="bullet"/>
      <w:lvlText w:val=""/>
      <w:lvlJc w:val="left"/>
      <w:pPr>
        <w:ind w:left="5028" w:hanging="360"/>
      </w:pPr>
      <w:rPr>
        <w:rFonts w:ascii="Wingdings" w:hAnsi="Wingdings"/>
      </w:rPr>
    </w:lvl>
    <w:lvl w:ilvl="6" w:tplc="28301AF4">
      <w:start w:val="1"/>
      <w:numFmt w:val="bullet"/>
      <w:lvlText w:val=""/>
      <w:lvlJc w:val="left"/>
      <w:pPr>
        <w:ind w:left="5748" w:hanging="360"/>
      </w:pPr>
      <w:rPr>
        <w:rFonts w:ascii="Symbol" w:hAnsi="Symbol"/>
      </w:rPr>
    </w:lvl>
    <w:lvl w:ilvl="7" w:tplc="61D234DE">
      <w:start w:val="1"/>
      <w:numFmt w:val="bullet"/>
      <w:lvlText w:val="o"/>
      <w:lvlJc w:val="left"/>
      <w:pPr>
        <w:ind w:left="6468" w:hanging="360"/>
      </w:pPr>
      <w:rPr>
        <w:rFonts w:ascii="Courier New" w:hAnsi="Courier New" w:cs="Courier New"/>
      </w:rPr>
    </w:lvl>
    <w:lvl w:ilvl="8" w:tplc="7F78B5CC">
      <w:start w:val="1"/>
      <w:numFmt w:val="bullet"/>
      <w:lvlText w:val=""/>
      <w:lvlJc w:val="left"/>
      <w:pPr>
        <w:ind w:left="7188" w:hanging="360"/>
      </w:pPr>
      <w:rPr>
        <w:rFonts w:ascii="Wingdings" w:hAnsi="Wingdings"/>
      </w:rPr>
    </w:lvl>
  </w:abstractNum>
  <w:abstractNum w:abstractNumId="1" w15:restartNumberingAfterBreak="0">
    <w:nsid w:val="79034375"/>
    <w:multiLevelType w:val="hybridMultilevel"/>
    <w:tmpl w:val="5976843C"/>
    <w:lvl w:ilvl="0" w:tplc="50BCBFB4">
      <w:start w:val="1"/>
      <w:numFmt w:val="decimal"/>
      <w:suff w:val="nothing"/>
      <w:lvlText w:val=""/>
      <w:lvlJc w:val="left"/>
      <w:pPr>
        <w:tabs>
          <w:tab w:val="num" w:pos="0"/>
        </w:tabs>
        <w:ind w:left="0" w:firstLine="0"/>
      </w:pPr>
    </w:lvl>
    <w:lvl w:ilvl="1" w:tplc="D368FD42">
      <w:start w:val="1"/>
      <w:numFmt w:val="decimal"/>
      <w:suff w:val="nothing"/>
      <w:lvlText w:val=""/>
      <w:lvlJc w:val="left"/>
      <w:pPr>
        <w:tabs>
          <w:tab w:val="num" w:pos="0"/>
        </w:tabs>
        <w:ind w:left="0" w:firstLine="0"/>
      </w:pPr>
    </w:lvl>
    <w:lvl w:ilvl="2" w:tplc="85DE15E8">
      <w:start w:val="1"/>
      <w:numFmt w:val="decimal"/>
      <w:pStyle w:val="3"/>
      <w:suff w:val="nothing"/>
      <w:lvlText w:val=""/>
      <w:lvlJc w:val="left"/>
      <w:pPr>
        <w:tabs>
          <w:tab w:val="num" w:pos="0"/>
        </w:tabs>
        <w:ind w:left="0" w:firstLine="0"/>
      </w:pPr>
    </w:lvl>
    <w:lvl w:ilvl="3" w:tplc="B2F4F200">
      <w:start w:val="1"/>
      <w:numFmt w:val="decimal"/>
      <w:suff w:val="nothing"/>
      <w:lvlText w:val=""/>
      <w:lvlJc w:val="left"/>
      <w:pPr>
        <w:tabs>
          <w:tab w:val="num" w:pos="0"/>
        </w:tabs>
        <w:ind w:left="0" w:firstLine="0"/>
      </w:pPr>
    </w:lvl>
    <w:lvl w:ilvl="4" w:tplc="A684BEDC">
      <w:start w:val="1"/>
      <w:numFmt w:val="decimal"/>
      <w:suff w:val="nothing"/>
      <w:lvlText w:val=""/>
      <w:lvlJc w:val="left"/>
      <w:pPr>
        <w:tabs>
          <w:tab w:val="num" w:pos="0"/>
        </w:tabs>
        <w:ind w:left="0" w:firstLine="0"/>
      </w:pPr>
    </w:lvl>
    <w:lvl w:ilvl="5" w:tplc="9FEA3EA0">
      <w:start w:val="1"/>
      <w:numFmt w:val="decimal"/>
      <w:suff w:val="nothing"/>
      <w:lvlText w:val=""/>
      <w:lvlJc w:val="left"/>
      <w:pPr>
        <w:tabs>
          <w:tab w:val="num" w:pos="0"/>
        </w:tabs>
        <w:ind w:left="0" w:firstLine="0"/>
      </w:pPr>
    </w:lvl>
    <w:lvl w:ilvl="6" w:tplc="07A225F4">
      <w:start w:val="1"/>
      <w:numFmt w:val="decimal"/>
      <w:suff w:val="nothing"/>
      <w:lvlText w:val=""/>
      <w:lvlJc w:val="left"/>
      <w:pPr>
        <w:tabs>
          <w:tab w:val="num" w:pos="0"/>
        </w:tabs>
        <w:ind w:left="0" w:firstLine="0"/>
      </w:pPr>
    </w:lvl>
    <w:lvl w:ilvl="7" w:tplc="59A2FA7C">
      <w:start w:val="1"/>
      <w:numFmt w:val="decimal"/>
      <w:suff w:val="nothing"/>
      <w:lvlText w:val=""/>
      <w:lvlJc w:val="left"/>
      <w:pPr>
        <w:tabs>
          <w:tab w:val="num" w:pos="0"/>
        </w:tabs>
        <w:ind w:left="0" w:firstLine="0"/>
      </w:pPr>
    </w:lvl>
    <w:lvl w:ilvl="8" w:tplc="0D0618FA">
      <w:start w:val="1"/>
      <w:numFmt w:val="decimal"/>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744"/>
    <w:rsid w:val="009B2744"/>
    <w:rsid w:val="00A2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31EC"/>
  <w15:docId w15:val="{A2DE794B-65CB-42E4-BEC4-EC7B690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0"/>
    <w:link w:val="31"/>
    <w:pPr>
      <w:numPr>
        <w:ilvl w:val="2"/>
        <w:numId w:val="1"/>
      </w:numPr>
      <w:spacing w:before="150" w:after="300"/>
      <w:outlineLvl w:val="2"/>
    </w:pPr>
    <w:rPr>
      <w:rFonts w:ascii="Arial" w:hAnsi="Arial" w:cs="Arial"/>
      <w:color w:val="5185B4"/>
      <w:spacing w:val="-15"/>
      <w:sz w:val="27"/>
      <w:szCs w:val="27"/>
      <w:lang w:val="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pPr>
      <w:widowControl w:val="0"/>
    </w:pPr>
    <w:rPr>
      <w:lang w:eastAsia="zh-CN"/>
    </w:rPr>
  </w:style>
  <w:style w:type="paragraph" w:styleId="a6">
    <w:name w:val="Title"/>
    <w:basedOn w:val="a"/>
    <w:next w:val="a0"/>
    <w:link w:val="a7"/>
    <w:pPr>
      <w:keepNext/>
      <w:spacing w:before="240" w:after="120"/>
    </w:pPr>
    <w:rPr>
      <w:rFonts w:ascii="PT Astra Serif" w:eastAsia="Microsoft YaHei" w:hAnsi="PT Astra Serif" w:cs="Mangal"/>
      <w:sz w:val="28"/>
      <w:szCs w:val="28"/>
    </w:rPr>
  </w:style>
  <w:style w:type="character" w:customStyle="1" w:styleId="a7">
    <w:name w:val="Заголовок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11">
    <w:name w:val="Верхний колонтитул Знак1"/>
    <w:link w:val="ac"/>
    <w:uiPriority w:val="99"/>
  </w:style>
  <w:style w:type="character" w:customStyle="1" w:styleId="FooterChar">
    <w:name w:val="Footer Char"/>
    <w:uiPriority w:val="99"/>
  </w:style>
  <w:style w:type="character" w:customStyle="1" w:styleId="12">
    <w:name w:val="Нижний колонтитул Знак1"/>
    <w:link w:val="ad"/>
    <w:uiPriority w:val="99"/>
  </w:style>
  <w:style w:type="table" w:styleId="ae">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33">
    <w:name w:val="Заголовок 3 Знак"/>
    <w:rPr>
      <w:rFonts w:ascii="Arial" w:hAnsi="Arial" w:cs="Arial"/>
      <w:color w:val="5185B4"/>
      <w:spacing w:val="-15"/>
      <w:sz w:val="27"/>
      <w:szCs w:val="27"/>
    </w:rPr>
  </w:style>
  <w:style w:type="character" w:styleId="af7">
    <w:name w:val="Hyperlink"/>
    <w:rPr>
      <w:rFonts w:cs="Times New Roman"/>
      <w:color w:val="008000"/>
      <w:u w:val="single"/>
    </w:rPr>
  </w:style>
  <w:style w:type="character" w:customStyle="1" w:styleId="af8">
    <w:name w:val="Верхний колонтитул Знак"/>
    <w:rPr>
      <w:rFonts w:cs="Times New Roman"/>
      <w:sz w:val="20"/>
      <w:szCs w:val="20"/>
    </w:rPr>
  </w:style>
  <w:style w:type="character" w:customStyle="1" w:styleId="af9">
    <w:name w:val="Нижний колонтитул Знак"/>
    <w:rPr>
      <w:rFonts w:cs="Times New Roman"/>
    </w:rPr>
  </w:style>
  <w:style w:type="character" w:customStyle="1" w:styleId="afa">
    <w:name w:val="Текст выноски Знак"/>
    <w:rPr>
      <w:rFonts w:ascii="Tahoma" w:hAnsi="Tahoma" w:cs="Tahoma"/>
      <w:sz w:val="16"/>
      <w:szCs w:val="16"/>
    </w:rPr>
  </w:style>
  <w:style w:type="character" w:styleId="afb">
    <w:name w:val="Emphasis"/>
    <w:rPr>
      <w:i/>
      <w:iCs/>
    </w:rPr>
  </w:style>
  <w:style w:type="character" w:customStyle="1" w:styleId="afc">
    <w:name w:val="Неразрешенное упоминание"/>
    <w:rPr>
      <w:color w:val="605E5C"/>
      <w:shd w:val="clear" w:color="auto" w:fill="E1DFDD"/>
    </w:rPr>
  </w:style>
  <w:style w:type="paragraph" w:styleId="a0">
    <w:name w:val="Body Text"/>
    <w:basedOn w:val="a"/>
    <w:pPr>
      <w:spacing w:after="140" w:line="276" w:lineRule="auto"/>
    </w:pPr>
  </w:style>
  <w:style w:type="paragraph" w:styleId="afd">
    <w:name w:val="List"/>
    <w:basedOn w:val="a0"/>
    <w:rPr>
      <w:rFonts w:ascii="PT Astra Serif" w:hAnsi="PT Astra Serif" w:cs="Mangal"/>
    </w:rPr>
  </w:style>
  <w:style w:type="paragraph" w:styleId="afe">
    <w:name w:val="caption"/>
    <w:basedOn w:val="a"/>
    <w:pPr>
      <w:suppressLineNumbers/>
      <w:spacing w:before="120" w:after="120"/>
    </w:pPr>
    <w:rPr>
      <w:rFonts w:ascii="PT Astra Serif" w:hAnsi="PT Astra Serif" w:cs="Mangal"/>
      <w:i/>
      <w:iCs/>
      <w:sz w:val="24"/>
      <w:szCs w:val="24"/>
    </w:rPr>
  </w:style>
  <w:style w:type="paragraph" w:styleId="aff">
    <w:name w:val="index heading"/>
    <w:basedOn w:val="a"/>
    <w:pPr>
      <w:suppressLineNumbers/>
    </w:pPr>
    <w:rPr>
      <w:rFonts w:ascii="PT Astra Serif" w:hAnsi="PT Astra Serif" w:cs="Mangal"/>
    </w:rPr>
  </w:style>
  <w:style w:type="paragraph" w:customStyle="1" w:styleId="aff0">
    <w:name w:val="Колонтитул"/>
    <w:basedOn w:val="a"/>
    <w:pPr>
      <w:suppressLineNumbers/>
      <w:tabs>
        <w:tab w:val="center" w:pos="4819"/>
        <w:tab w:val="right" w:pos="9638"/>
      </w:tabs>
    </w:pPr>
  </w:style>
  <w:style w:type="paragraph" w:styleId="ac">
    <w:name w:val="header"/>
    <w:basedOn w:val="a"/>
    <w:link w:val="11"/>
    <w:rPr>
      <w:lang w:val="en-US"/>
    </w:rPr>
  </w:style>
  <w:style w:type="paragraph" w:styleId="ad">
    <w:name w:val="footer"/>
    <w:basedOn w:val="a"/>
    <w:link w:val="12"/>
    <w:rPr>
      <w:lang w:val="en-US"/>
    </w:rPr>
  </w:style>
  <w:style w:type="paragraph" w:styleId="aff1">
    <w:name w:val="Balloon Text"/>
    <w:basedOn w:val="a"/>
    <w:rPr>
      <w:rFonts w:ascii="Tahoma" w:hAnsi="Tahoma" w:cs="Tahoma"/>
      <w:sz w:val="16"/>
      <w:szCs w:val="16"/>
      <w:lang w:val="en-US"/>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2">
    <w:name w:val="Стиль"/>
    <w:pPr>
      <w:widowControl w:val="0"/>
    </w:pPr>
    <w:rPr>
      <w:sz w:val="24"/>
      <w:szCs w:val="24"/>
      <w:lang w:eastAsia="zh-CN"/>
    </w:rPr>
  </w:style>
  <w:style w:type="paragraph" w:customStyle="1" w:styleId="ConsPlusNormal">
    <w:name w:val="ConsPlusNormal"/>
    <w:pPr>
      <w:ind w:firstLine="720"/>
    </w:pPr>
    <w:rPr>
      <w:rFonts w:ascii="Arial" w:eastAsia="Calibri" w:hAnsi="Arial" w:cs="Arial"/>
      <w:lang w:eastAsia="zh-CN"/>
    </w:rPr>
  </w:style>
  <w:style w:type="paragraph" w:customStyle="1" w:styleId="Default">
    <w:name w:val="Default"/>
    <w:rPr>
      <w:color w:val="000000"/>
      <w:sz w:val="24"/>
      <w:szCs w:val="24"/>
      <w:lang w:eastAsia="zh-CN"/>
    </w:rPr>
  </w:style>
  <w:style w:type="paragraph" w:customStyle="1" w:styleId="aff3">
    <w:name w:val="Содержимое таблицы"/>
    <w:basedOn w:val="a"/>
    <w:pPr>
      <w:widowControl w:val="0"/>
      <w:suppressLineNumbers/>
    </w:pPr>
  </w:style>
  <w:style w:type="paragraph" w:customStyle="1" w:styleId="aff4">
    <w:name w:val="Заголовок таблицы"/>
    <w:basedOn w:val="aff3"/>
    <w:pPr>
      <w:jc w:val="center"/>
    </w:pPr>
    <w:rPr>
      <w:b/>
      <w:bCs/>
    </w:rPr>
  </w:style>
  <w:style w:type="table" w:customStyle="1" w:styleId="16">
    <w:name w:val="Сетка таблицы1"/>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character" w:customStyle="1" w:styleId="17">
    <w:name w:val="Гиперссылка1"/>
    <w:rPr>
      <w:rFonts w:cs="Times New Roman"/>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mpkazan.ru/" TargetMode="External"/><Relationship Id="rId3" Type="http://schemas.openxmlformats.org/officeDocument/2006/relationships/settings" Target="settings.xml"/><Relationship Id="rId7" Type="http://schemas.openxmlformats.org/officeDocument/2006/relationships/hyperlink" Target="https://event-innokam.timepad.ru/event/25829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HP</cp:lastModifiedBy>
  <cp:revision>2</cp:revision>
  <dcterms:created xsi:type="dcterms:W3CDTF">2025-09-30T08:32:00Z</dcterms:created>
  <dcterms:modified xsi:type="dcterms:W3CDTF">2025-09-30T08:32:00Z</dcterms:modified>
</cp:coreProperties>
</file>