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F65" w:rsidRDefault="000E2F65" w:rsidP="000E3BB4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0E2F65" w:rsidRDefault="000E2F65" w:rsidP="000E3BB4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6F5A7A" w:rsidRDefault="000E3BB4" w:rsidP="006F5A7A">
      <w:pPr>
        <w:jc w:val="center"/>
        <w:rPr>
          <w:b/>
          <w:bCs/>
          <w:color w:val="000000" w:themeColor="text1"/>
          <w:sz w:val="28"/>
          <w:szCs w:val="28"/>
        </w:rPr>
      </w:pPr>
      <w:r w:rsidRPr="00176872">
        <w:rPr>
          <w:b/>
          <w:bCs/>
          <w:color w:val="000000" w:themeColor="text1"/>
          <w:sz w:val="28"/>
          <w:szCs w:val="28"/>
        </w:rPr>
        <w:t>С 1 января 2026 года страховые пенсии жителей республики Татарстан будут проиндексированы на 7,6%</w:t>
      </w:r>
    </w:p>
    <w:p w:rsidR="006F5A7A" w:rsidRPr="006F5A7A" w:rsidRDefault="000E3BB4" w:rsidP="006F5A7A">
      <w:pPr>
        <w:pStyle w:val="af5"/>
        <w:spacing w:line="360" w:lineRule="auto"/>
        <w:ind w:firstLine="709"/>
        <w:contextualSpacing/>
        <w:jc w:val="both"/>
        <w:rPr>
          <w:rStyle w:val="aa"/>
          <w:b w:val="0"/>
          <w:bCs w:val="0"/>
        </w:rPr>
      </w:pPr>
      <w:r w:rsidRPr="006F5A7A">
        <w:rPr>
          <w:rStyle w:val="aa"/>
          <w:b w:val="0"/>
          <w:bCs w:val="0"/>
        </w:rPr>
        <w:t xml:space="preserve">В результате индексации </w:t>
      </w:r>
      <w:r w:rsidR="006F5A7A" w:rsidRPr="006F5A7A">
        <w:rPr>
          <w:rStyle w:val="aa"/>
          <w:b w:val="0"/>
          <w:bCs w:val="0"/>
        </w:rPr>
        <w:t xml:space="preserve">на 7,6% средний размер пенсии повысится на 1 864 рубля и составит 26 395 рублей. </w:t>
      </w:r>
    </w:p>
    <w:p w:rsidR="006F5A7A" w:rsidRPr="006F5A7A" w:rsidRDefault="000E3BB4" w:rsidP="006F5A7A">
      <w:pPr>
        <w:pStyle w:val="af5"/>
        <w:spacing w:line="360" w:lineRule="auto"/>
        <w:ind w:firstLine="709"/>
        <w:contextualSpacing/>
        <w:jc w:val="both"/>
        <w:rPr>
          <w:rStyle w:val="aa"/>
          <w:b w:val="0"/>
          <w:bCs w:val="0"/>
        </w:rPr>
      </w:pPr>
      <w:r w:rsidRPr="006F5A7A">
        <w:rPr>
          <w:rStyle w:val="aa"/>
          <w:b w:val="0"/>
          <w:bCs w:val="0"/>
        </w:rPr>
        <w:t>Все изменения учитываются на индивидуальных лицевых счетах пенсионеров и влияют на формирование их пенсионных прав.</w:t>
      </w:r>
      <w:r w:rsidR="006F5A7A" w:rsidRPr="006F5A7A">
        <w:rPr>
          <w:rStyle w:val="aa"/>
          <w:b w:val="0"/>
          <w:bCs w:val="0"/>
        </w:rPr>
        <w:t xml:space="preserve"> В 2026 году индексация коснулась 1 015 855 пенсионеров по всей Республике Татарстан. </w:t>
      </w:r>
    </w:p>
    <w:p w:rsidR="000E3BB4" w:rsidRPr="000E3BB4" w:rsidRDefault="000E3BB4" w:rsidP="000E3BB4">
      <w:pPr>
        <w:pStyle w:val="af5"/>
        <w:spacing w:line="360" w:lineRule="auto"/>
        <w:ind w:firstLine="709"/>
        <w:contextualSpacing/>
        <w:jc w:val="both"/>
        <w:rPr>
          <w:rStyle w:val="aa"/>
          <w:b w:val="0"/>
          <w:bCs w:val="0"/>
        </w:rPr>
      </w:pPr>
      <w:r>
        <w:t>Индексация является ежегодной и проводится автоматически, без подачи заявлений в органы СФР.</w:t>
      </w:r>
      <w:r>
        <w:rPr>
          <w:rStyle w:val="aa"/>
          <w:b w:val="0"/>
          <w:bCs w:val="0"/>
        </w:rPr>
        <w:t xml:space="preserve"> Ее о</w:t>
      </w:r>
      <w:r w:rsidRPr="000E3BB4">
        <w:rPr>
          <w:rStyle w:val="aa"/>
          <w:b w:val="0"/>
          <w:bCs w:val="0"/>
        </w:rPr>
        <w:t xml:space="preserve">собенностью стало распространение </w:t>
      </w:r>
      <w:r w:rsidR="00F43A06">
        <w:rPr>
          <w:rStyle w:val="aa"/>
          <w:b w:val="0"/>
          <w:bCs w:val="0"/>
        </w:rPr>
        <w:t xml:space="preserve">и </w:t>
      </w:r>
      <w:r w:rsidRPr="000E3BB4">
        <w:rPr>
          <w:rStyle w:val="aa"/>
          <w:b w:val="0"/>
          <w:bCs w:val="0"/>
        </w:rPr>
        <w:t xml:space="preserve">на работающих пенсионеров. </w:t>
      </w:r>
      <w:r w:rsidR="00F43A06">
        <w:rPr>
          <w:rStyle w:val="aa"/>
          <w:b w:val="0"/>
          <w:bCs w:val="0"/>
        </w:rPr>
        <w:t xml:space="preserve">Для них повышение рассчитывается исходя из установленного азмера пенсии с учетом индексации 2025 года. </w:t>
      </w:r>
      <w:r w:rsidRPr="000E3BB4">
        <w:rPr>
          <w:rStyle w:val="aa"/>
          <w:b w:val="0"/>
          <w:bCs w:val="0"/>
        </w:rPr>
        <w:t>Такой подход обеспечи</w:t>
      </w:r>
      <w:r w:rsidR="00F43A06">
        <w:rPr>
          <w:rStyle w:val="aa"/>
          <w:b w:val="0"/>
          <w:bCs w:val="0"/>
        </w:rPr>
        <w:t>л</w:t>
      </w:r>
      <w:r w:rsidRPr="000E3BB4">
        <w:rPr>
          <w:rStyle w:val="aa"/>
          <w:b w:val="0"/>
          <w:bCs w:val="0"/>
        </w:rPr>
        <w:t xml:space="preserve"> прибавку</w:t>
      </w:r>
      <w:r w:rsidR="00F43A06">
        <w:rPr>
          <w:rStyle w:val="aa"/>
          <w:b w:val="0"/>
          <w:bCs w:val="0"/>
        </w:rPr>
        <w:t xml:space="preserve"> и</w:t>
      </w:r>
      <w:r w:rsidRPr="000E3BB4">
        <w:rPr>
          <w:rStyle w:val="aa"/>
          <w:b w:val="0"/>
          <w:bCs w:val="0"/>
        </w:rPr>
        <w:t xml:space="preserve"> для пенсионеров,</w:t>
      </w:r>
      <w:r w:rsidR="00F43A06">
        <w:rPr>
          <w:rStyle w:val="aa"/>
          <w:b w:val="0"/>
          <w:bCs w:val="0"/>
        </w:rPr>
        <w:t xml:space="preserve"> осуществляющих трудовую деятельность</w:t>
      </w:r>
      <w:r w:rsidRPr="000E3BB4">
        <w:rPr>
          <w:rStyle w:val="aa"/>
          <w:b w:val="0"/>
          <w:bCs w:val="0"/>
        </w:rPr>
        <w:t>.</w:t>
      </w:r>
    </w:p>
    <w:p w:rsidR="000E3BB4" w:rsidRPr="000E3BB4" w:rsidRDefault="000E3BB4" w:rsidP="00875D57">
      <w:pPr>
        <w:pStyle w:val="af5"/>
        <w:spacing w:line="360" w:lineRule="auto"/>
        <w:ind w:firstLine="709"/>
        <w:contextualSpacing/>
        <w:jc w:val="both"/>
        <w:rPr>
          <w:rStyle w:val="aa"/>
          <w:b w:val="0"/>
          <w:bCs w:val="0"/>
        </w:rPr>
      </w:pPr>
      <w:r w:rsidRPr="000E3BB4">
        <w:rPr>
          <w:rStyle w:val="aa"/>
          <w:b w:val="0"/>
          <w:bCs w:val="0"/>
          <w:i/>
          <w:iCs/>
        </w:rPr>
        <w:t xml:space="preserve">«Для </w:t>
      </w:r>
      <w:r w:rsidR="00F43A06">
        <w:rPr>
          <w:rStyle w:val="aa"/>
          <w:b w:val="0"/>
          <w:bCs w:val="0"/>
          <w:i/>
          <w:iCs/>
        </w:rPr>
        <w:t xml:space="preserve">них </w:t>
      </w:r>
      <w:r w:rsidRPr="000E3BB4">
        <w:rPr>
          <w:rStyle w:val="aa"/>
          <w:b w:val="0"/>
          <w:bCs w:val="0"/>
          <w:i/>
          <w:iCs/>
        </w:rPr>
        <w:t xml:space="preserve">действует особый порядок выплаты страховой пенсии. Все пропущенные за период работы индексации сохраняются и будут учтены после прекращения трудовой деятельности, </w:t>
      </w:r>
      <w:r w:rsidR="00F43A06">
        <w:rPr>
          <w:rStyle w:val="aa"/>
          <w:b w:val="0"/>
          <w:bCs w:val="0"/>
          <w:i/>
          <w:iCs/>
        </w:rPr>
        <w:t>и</w:t>
      </w:r>
      <w:r w:rsidRPr="000E3BB4">
        <w:rPr>
          <w:rStyle w:val="aa"/>
          <w:b w:val="0"/>
          <w:bCs w:val="0"/>
          <w:i/>
          <w:iCs/>
        </w:rPr>
        <w:t xml:space="preserve"> пенсия </w:t>
      </w:r>
      <w:r w:rsidR="00F43A06">
        <w:rPr>
          <w:rStyle w:val="aa"/>
          <w:b w:val="0"/>
          <w:bCs w:val="0"/>
          <w:i/>
          <w:iCs/>
        </w:rPr>
        <w:t xml:space="preserve">будет </w:t>
      </w:r>
      <w:r w:rsidRPr="000E3BB4">
        <w:rPr>
          <w:rStyle w:val="aa"/>
          <w:b w:val="0"/>
          <w:bCs w:val="0"/>
          <w:i/>
          <w:iCs/>
        </w:rPr>
        <w:t>выплачиват</w:t>
      </w:r>
      <w:r w:rsidR="00F43A06">
        <w:rPr>
          <w:rStyle w:val="aa"/>
          <w:b w:val="0"/>
          <w:bCs w:val="0"/>
          <w:i/>
          <w:iCs/>
        </w:rPr>
        <w:t>ь</w:t>
      </w:r>
      <w:r w:rsidRPr="000E3BB4">
        <w:rPr>
          <w:rStyle w:val="aa"/>
          <w:b w:val="0"/>
          <w:bCs w:val="0"/>
          <w:i/>
          <w:iCs/>
        </w:rPr>
        <w:t>ся в полном объёме с учётом всех накопленных повышений»,</w:t>
      </w:r>
      <w:r w:rsidRPr="000E3BB4">
        <w:rPr>
          <w:rStyle w:val="aa"/>
          <w:b w:val="0"/>
          <w:bCs w:val="0"/>
        </w:rPr>
        <w:t xml:space="preserve"> — отметил управляющий Отделением Социального фонда России по Республике Татарстан Эдуард Вафин.</w:t>
      </w:r>
    </w:p>
    <w:p w:rsidR="00C056A9" w:rsidRPr="00413EBC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13EBC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8" w:history="1">
        <w:r w:rsidRPr="00413EBC">
          <w:rPr>
            <w:rStyle w:val="ab"/>
            <w:color w:val="18438C"/>
          </w:rPr>
          <w:t>сайте СФР</w:t>
        </w:r>
      </w:hyperlink>
      <w:r w:rsidRPr="00413EBC">
        <w:rPr>
          <w:color w:val="212121"/>
        </w:rPr>
        <w:t> и</w:t>
      </w:r>
      <w:r w:rsidR="007E5AA7" w:rsidRPr="00413EBC">
        <w:rPr>
          <w:color w:val="212121"/>
        </w:rPr>
        <w:t xml:space="preserve"> в</w:t>
      </w:r>
      <w:r w:rsidRPr="00413EBC">
        <w:rPr>
          <w:color w:val="212121"/>
        </w:rPr>
        <w:t xml:space="preserve"> официальных аккаунтах в социальныхсетях:  </w:t>
      </w:r>
      <w:hyperlink r:id="rId9" w:tgtFrame="_blank" w:history="1">
        <w:r w:rsidRPr="00413EBC">
          <w:rPr>
            <w:rStyle w:val="ab"/>
            <w:color w:val="18438C"/>
          </w:rPr>
          <w:t>ВКонтакте</w:t>
        </w:r>
      </w:hyperlink>
      <w:r w:rsidRPr="00413EBC">
        <w:rPr>
          <w:color w:val="212121"/>
        </w:rPr>
        <w:t>, </w:t>
      </w:r>
      <w:hyperlink r:id="rId10" w:tgtFrame="_blank" w:history="1">
        <w:r w:rsidRPr="00413EBC">
          <w:rPr>
            <w:rStyle w:val="ab"/>
            <w:color w:val="18438C"/>
          </w:rPr>
          <w:t>Одноклассники</w:t>
        </w:r>
      </w:hyperlink>
      <w:r w:rsidRPr="00413EBC">
        <w:rPr>
          <w:color w:val="212121"/>
        </w:rPr>
        <w:t> и </w:t>
      </w:r>
      <w:hyperlink r:id="rId11" w:tgtFrame="_blank" w:history="1">
        <w:r w:rsidRPr="00413EBC">
          <w:rPr>
            <w:rStyle w:val="ab"/>
            <w:color w:val="18438C"/>
          </w:rPr>
          <w:t>Телеграм.</w:t>
        </w:r>
      </w:hyperlink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413EBC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1A9B" w:rsidRDefault="00A41A9B">
      <w:r>
        <w:separator/>
      </w:r>
    </w:p>
  </w:endnote>
  <w:endnote w:type="continuationSeparator" w:id="1">
    <w:p w:rsidR="00A41A9B" w:rsidRDefault="00A41A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A7267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1A9B" w:rsidRDefault="00A41A9B">
      <w:r>
        <w:separator/>
      </w:r>
    </w:p>
  </w:footnote>
  <w:footnote w:type="continuationSeparator" w:id="1">
    <w:p w:rsidR="00A41A9B" w:rsidRDefault="00A41A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.4pt;height:300.4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704144D"/>
    <w:multiLevelType w:val="hybridMultilevel"/>
    <w:tmpl w:val="ED9AB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5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5"/>
  </w:num>
  <w:num w:numId="4">
    <w:abstractNumId w:val="32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3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4"/>
  </w:num>
  <w:num w:numId="15">
    <w:abstractNumId w:val="30"/>
  </w:num>
  <w:num w:numId="16">
    <w:abstractNumId w:val="10"/>
  </w:num>
  <w:num w:numId="17">
    <w:abstractNumId w:val="37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6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  <w:num w:numId="38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hideSpellingErrors/>
  <w:hideGrammaticalErrors/>
  <w:stylePaneFormatFilter w:val="3F01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D64A3"/>
    <w:rsid w:val="000E0D4F"/>
    <w:rsid w:val="000E2F65"/>
    <w:rsid w:val="000E38AA"/>
    <w:rsid w:val="000E3BB4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0751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4E68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0BE4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3E93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1004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31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2F9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2790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3EBC"/>
    <w:rsid w:val="004172A2"/>
    <w:rsid w:val="00421229"/>
    <w:rsid w:val="004216E9"/>
    <w:rsid w:val="00423BA7"/>
    <w:rsid w:val="0042452A"/>
    <w:rsid w:val="00424AA2"/>
    <w:rsid w:val="0042545B"/>
    <w:rsid w:val="004256AC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1A58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5C7"/>
    <w:rsid w:val="004C7A3B"/>
    <w:rsid w:val="004D1036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67FE4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135A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A7A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6EDD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5D57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197F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2F1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1E57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2048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1A9B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267E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6FB3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0B0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0552E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51C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776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172C0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433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55EF2"/>
    <w:rsid w:val="00E6292E"/>
    <w:rsid w:val="00E62C0B"/>
    <w:rsid w:val="00E64342"/>
    <w:rsid w:val="00E66331"/>
    <w:rsid w:val="00E6650E"/>
    <w:rsid w:val="00E66906"/>
    <w:rsid w:val="00E66BFA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5B0D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ADF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3A06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2465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46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939055">
                      <w:marLeft w:val="0"/>
                      <w:marRight w:val="0"/>
                      <w:marTop w:val="0"/>
                      <w:marBottom w:val="18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55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E88E0-AD35-4EFF-86A1-FE5BBB169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1751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Ибатуллина Гульназ Гилембаевна</cp:lastModifiedBy>
  <cp:revision>13</cp:revision>
  <cp:lastPrinted>2025-09-02T06:30:00Z</cp:lastPrinted>
  <dcterms:created xsi:type="dcterms:W3CDTF">2025-11-10T13:43:00Z</dcterms:created>
  <dcterms:modified xsi:type="dcterms:W3CDTF">2026-01-16T11:51:00Z</dcterms:modified>
</cp:coreProperties>
</file>