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43" w:rsidRDefault="00B20D43" w:rsidP="00B20D43">
      <w:pPr>
        <w:spacing w:before="60" w:after="60"/>
        <w:rPr>
          <w:lang w:val="tt-RU"/>
        </w:rPr>
      </w:pPr>
      <w:r w:rsidRPr="00621975">
        <w:t>Тарату</w:t>
      </w:r>
      <w:r w:rsidRPr="00621975">
        <w:rPr>
          <w:lang w:val="tt-RU"/>
        </w:rPr>
        <w:t>көне: 202</w:t>
      </w:r>
      <w:r>
        <w:rPr>
          <w:lang w:val="tt-RU"/>
        </w:rPr>
        <w:t xml:space="preserve">2 елның </w:t>
      </w:r>
      <w:r w:rsidR="00991CD1">
        <w:rPr>
          <w:lang w:val="tt-RU"/>
        </w:rPr>
        <w:t>2</w:t>
      </w:r>
      <w:r w:rsidR="009E3CE3">
        <w:rPr>
          <w:lang w:val="tt-RU"/>
        </w:rPr>
        <w:t>4</w:t>
      </w:r>
      <w:r>
        <w:rPr>
          <w:lang w:val="tt-RU"/>
        </w:rPr>
        <w:t xml:space="preserve"> марты</w:t>
      </w:r>
    </w:p>
    <w:p w:rsidR="00623955" w:rsidRDefault="00623955" w:rsidP="00623955">
      <w:pPr>
        <w:spacing w:after="200" w:line="276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A547C" w:rsidRDefault="008A547C" w:rsidP="008A547C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A547C">
        <w:rPr>
          <w:rFonts w:eastAsiaTheme="minorHAnsi"/>
          <w:b/>
          <w:sz w:val="28"/>
          <w:szCs w:val="28"/>
          <w:lang w:eastAsia="en-US"/>
        </w:rPr>
        <w:t>1 апрельдән</w:t>
      </w:r>
      <w:r w:rsidR="005E1118">
        <w:rPr>
          <w:rFonts w:eastAsiaTheme="minorHAnsi"/>
          <w:b/>
          <w:sz w:val="28"/>
          <w:szCs w:val="28"/>
          <w:lang w:eastAsia="en-US"/>
        </w:rPr>
        <w:t xml:space="preserve"> Т</w:t>
      </w:r>
      <w:r w:rsidRPr="008A547C">
        <w:rPr>
          <w:rFonts w:eastAsiaTheme="minorHAnsi"/>
          <w:b/>
          <w:sz w:val="28"/>
          <w:szCs w:val="28"/>
          <w:lang w:eastAsia="en-US"/>
        </w:rPr>
        <w:t>атарстанлыларның</w:t>
      </w:r>
      <w:r w:rsidR="005E111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b/>
          <w:sz w:val="28"/>
          <w:szCs w:val="28"/>
          <w:lang w:eastAsia="en-US"/>
        </w:rPr>
        <w:t>социаль</w:t>
      </w:r>
      <w:r w:rsidR="005E111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b/>
          <w:sz w:val="28"/>
          <w:szCs w:val="28"/>
          <w:lang w:eastAsia="en-US"/>
        </w:rPr>
        <w:t>пенсияләре</w:t>
      </w:r>
      <w:r w:rsidR="005E111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b/>
          <w:sz w:val="28"/>
          <w:szCs w:val="28"/>
          <w:lang w:eastAsia="en-US"/>
        </w:rPr>
        <w:t>артачак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8A547C" w:rsidRPr="008A547C" w:rsidRDefault="008A547C" w:rsidP="008A547C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Ел саен 1 апрельдән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пенсионерның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яшәү минимумы үсеше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темпларын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исәпкә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алып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социаль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пенсияләр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индексацияләнә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2022 елда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социаль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пенсияләрне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индексацияләү</w:t>
      </w:r>
      <w:r w:rsidR="00A046E9">
        <w:rPr>
          <w:rFonts w:eastAsiaTheme="minorHAnsi"/>
          <w:sz w:val="28"/>
          <w:szCs w:val="28"/>
          <w:lang w:eastAsia="en-US"/>
        </w:rPr>
        <w:t xml:space="preserve">  </w:t>
      </w:r>
      <w:r w:rsidRPr="008A547C">
        <w:rPr>
          <w:rFonts w:eastAsiaTheme="minorHAnsi"/>
          <w:sz w:val="28"/>
          <w:szCs w:val="28"/>
          <w:lang w:eastAsia="en-US"/>
        </w:rPr>
        <w:t>пенсионерның 2021 ел өчен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яшәү минимумы күләме 2020 елның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шул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чорына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нисбәтле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буларак 7,7% дәрәҗәсендә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планлаштырылган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 xml:space="preserve">иде. 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Россия Президентының 2021 елда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яшәү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минимумын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һәм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иминият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пенсияләрен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индексацияләү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турындагы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карар</w:t>
      </w:r>
      <w:r w:rsidR="00A046E9">
        <w:rPr>
          <w:rFonts w:eastAsiaTheme="minorHAnsi"/>
          <w:sz w:val="28"/>
          <w:szCs w:val="28"/>
          <w:lang w:eastAsia="en-US"/>
        </w:rPr>
        <w:t>л</w:t>
      </w:r>
      <w:r w:rsidRPr="008A547C">
        <w:rPr>
          <w:rFonts w:eastAsiaTheme="minorHAnsi"/>
          <w:sz w:val="28"/>
          <w:szCs w:val="28"/>
          <w:lang w:eastAsia="en-US"/>
        </w:rPr>
        <w:t>арын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исәпкә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алып, 2022 елның 1 апреленнән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социаль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 xml:space="preserve">пенсияләр  8,6%ка индексацияләнә. 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Татарстанда  апрель индексациясе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социаль пенсия һәм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дәүләт пенсия тәэминаты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буенча пенсия алучы 8</w:t>
      </w:r>
      <w:r w:rsidR="00442229">
        <w:rPr>
          <w:rFonts w:eastAsiaTheme="minorHAnsi"/>
          <w:sz w:val="28"/>
          <w:szCs w:val="28"/>
          <w:lang w:eastAsia="en-US"/>
        </w:rPr>
        <w:t xml:space="preserve">0 </w:t>
      </w:r>
      <w:r w:rsidRPr="008A547C">
        <w:rPr>
          <w:rFonts w:eastAsiaTheme="minorHAnsi"/>
          <w:sz w:val="28"/>
          <w:szCs w:val="28"/>
          <w:lang w:eastAsia="en-US"/>
        </w:rPr>
        <w:t>мең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="00836450">
        <w:rPr>
          <w:rFonts w:eastAsiaTheme="minorHAnsi"/>
          <w:sz w:val="28"/>
          <w:szCs w:val="28"/>
          <w:lang w:eastAsia="en-US"/>
        </w:rPr>
        <w:t>артык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пенсионерга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кагылачак.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Хәрбихезмәткәрләр, радиация яки техноген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һәлакәтләр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нәтиҗәсендә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зыян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күргән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гражданнар, Бөек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Ватан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сугышында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катнашучылар "Блокададагы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Ленинградта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яшәүчегә" билгесе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белән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бүләкләнгән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гражданнар, космонавтлар, шулай</w:t>
      </w:r>
      <w:r w:rsidR="00A046E9">
        <w:rPr>
          <w:rFonts w:eastAsiaTheme="minorHAnsi"/>
          <w:sz w:val="28"/>
          <w:szCs w:val="28"/>
          <w:lang w:eastAsia="en-US"/>
        </w:rPr>
        <w:t xml:space="preserve"> ук </w:t>
      </w:r>
      <w:r w:rsidRPr="008A547C">
        <w:rPr>
          <w:rFonts w:eastAsiaTheme="minorHAnsi"/>
          <w:sz w:val="28"/>
          <w:szCs w:val="28"/>
          <w:lang w:eastAsia="en-US"/>
        </w:rPr>
        <w:t>һәлак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булган (вафат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булган) хәрби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хезмәткәрләр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һәм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чернобыльчеләрнең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хезмәткә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яраксызга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илә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әгъзалары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дәүләт пенсия тәэминаты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буенча пенсия алучылар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булып тора.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sz w:val="28"/>
          <w:szCs w:val="28"/>
          <w:lang w:eastAsia="en-US"/>
        </w:rPr>
        <w:t>Төрле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сәбәпләр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аркасында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җитәрлек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хезмәт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стажы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тупламаган, туендыручысын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югалткан, әти-әнисез калган ятимнәр, инвалидлар, инвалид балалар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һәм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әти-әнис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ебилгеле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булмаган инвалид балалар да социаль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иминият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пенсиясе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алучылар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исәбенә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 xml:space="preserve">кертелә. </w:t>
      </w:r>
    </w:p>
    <w:p w:rsidR="008A547C" w:rsidRPr="008A547C" w:rsidRDefault="008A547C" w:rsidP="008A547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A547C">
        <w:rPr>
          <w:rFonts w:eastAsiaTheme="minorHAnsi"/>
          <w:i/>
          <w:sz w:val="28"/>
          <w:szCs w:val="28"/>
          <w:lang w:eastAsia="en-US"/>
        </w:rPr>
        <w:t>“Инвалидлык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буенча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социаль пенсия алучы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эшләүче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пенсионерларның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пенсияләре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генә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индексацияләнәчәк. Рәсмиэшләү факты картлык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буенча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социаль пенсия алучы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пенсионерны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индексациядән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ген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әтүгел, пенсия алудан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тулысынча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мәхрүмитә, чөнки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пенсионерның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эшләү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чорыннда пенсия түләү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тулысынча</w:t>
      </w:r>
      <w:r w:rsidR="00A046E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i/>
          <w:sz w:val="28"/>
          <w:szCs w:val="28"/>
          <w:lang w:eastAsia="en-US"/>
        </w:rPr>
        <w:t>туктатыла”,</w:t>
      </w:r>
      <w:r w:rsidRPr="008A547C">
        <w:rPr>
          <w:rFonts w:eastAsiaTheme="minorHAnsi"/>
          <w:sz w:val="28"/>
          <w:szCs w:val="28"/>
          <w:lang w:eastAsia="en-US"/>
        </w:rPr>
        <w:t xml:space="preserve"> - дип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билгеләп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үтте Татарстан Республикасы</w:t>
      </w:r>
      <w:r w:rsidR="00A046E9">
        <w:rPr>
          <w:rFonts w:eastAsiaTheme="minorHAnsi"/>
          <w:sz w:val="28"/>
          <w:szCs w:val="28"/>
          <w:lang w:eastAsia="en-US"/>
        </w:rPr>
        <w:t xml:space="preserve"> </w:t>
      </w:r>
      <w:r w:rsidRPr="008A547C">
        <w:rPr>
          <w:rFonts w:eastAsiaTheme="minorHAnsi"/>
          <w:sz w:val="28"/>
          <w:szCs w:val="28"/>
          <w:lang w:eastAsia="en-US"/>
        </w:rPr>
        <w:t>буенча Пенсия фонды  идарәчесе Эдуард Вафин.</w:t>
      </w:r>
    </w:p>
    <w:p w:rsidR="00BC7235" w:rsidRPr="008A547C" w:rsidRDefault="00BC7235" w:rsidP="00BC7235">
      <w:pPr>
        <w:spacing w:line="360" w:lineRule="auto"/>
        <w:rPr>
          <w:i/>
          <w:sz w:val="22"/>
          <w:szCs w:val="22"/>
        </w:rPr>
      </w:pPr>
    </w:p>
    <w:p w:rsidR="002E18DA" w:rsidRPr="00510AF1" w:rsidRDefault="00F9772A" w:rsidP="00BC7235">
      <w:pPr>
        <w:spacing w:line="360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lastRenderedPageBreak/>
        <w:t>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9E3CE3" w:rsidRDefault="002E18DA" w:rsidP="009E3CE3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211455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18DA" w:rsidRPr="002E18DA" w:rsidRDefault="00A678C2" w:rsidP="002E18DA">
      <w:pPr>
        <w:spacing w:before="60" w:after="60" w:line="276" w:lineRule="auto"/>
        <w:rPr>
          <w:sz w:val="22"/>
          <w:szCs w:val="22"/>
        </w:rPr>
      </w:pPr>
      <w:hyperlink r:id="rId10" w:history="1">
        <w:r w:rsidR="009E3CE3"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="009E3CE3" w:rsidRPr="002E18DA">
        <w:rPr>
          <w:sz w:val="22"/>
          <w:szCs w:val="22"/>
        </w:rPr>
        <w:t xml:space="preserve">, </w:t>
      </w:r>
    </w:p>
    <w:p w:rsidR="002E18DA" w:rsidRPr="002E18DA" w:rsidRDefault="009E3CE3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37465</wp:posOffset>
            </wp:positionH>
            <wp:positionV relativeFrom="paragraph">
              <wp:posOffset>24765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8DA"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="002E18DA"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="002E18DA" w:rsidRPr="002E18DA">
          <w:rPr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="002E18DA" w:rsidRPr="002E18DA">
          <w:rPr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="002E18DA" w:rsidRPr="002E18DA">
          <w:rPr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="002E18DA" w:rsidRPr="002E18DA">
          <w:rPr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A678C2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4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Default="002E18DA" w:rsidP="00510AF1">
      <w:pPr>
        <w:spacing w:before="60" w:after="60"/>
        <w:jc w:val="both"/>
        <w:rPr>
          <w:b/>
          <w:sz w:val="20"/>
          <w:szCs w:val="20"/>
        </w:rPr>
      </w:pPr>
      <w:bookmarkStart w:id="0" w:name="_GoBack"/>
      <w:bookmarkEnd w:id="0"/>
    </w:p>
    <w:sectPr w:rsidR="002E18DA" w:rsidSect="005C5C13">
      <w:headerReference w:type="default" r:id="rId16"/>
      <w:footerReference w:type="even" r:id="rId17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B7C" w:rsidRDefault="00E63B7C">
      <w:r>
        <w:separator/>
      </w:r>
    </w:p>
  </w:endnote>
  <w:endnote w:type="continuationSeparator" w:id="1">
    <w:p w:rsidR="00E63B7C" w:rsidRDefault="00E6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A678C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0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63" w:rsidRDefault="00110B6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B7C" w:rsidRDefault="00E63B7C">
      <w:r>
        <w:separator/>
      </w:r>
    </w:p>
  </w:footnote>
  <w:footnote w:type="continuationSeparator" w:id="1">
    <w:p w:rsidR="00E63B7C" w:rsidRDefault="00E63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110B63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78C2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A678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110B63" w:rsidRDefault="00110B6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110B63" w:rsidRDefault="00110B63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110B63" w:rsidRDefault="00110B63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1F1E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5A3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51A"/>
    <w:rsid w:val="002E4D4A"/>
    <w:rsid w:val="002E5C50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3AE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5B45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2229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2857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57D"/>
    <w:rsid w:val="004B379C"/>
    <w:rsid w:val="004B4104"/>
    <w:rsid w:val="004B52D2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BD5"/>
    <w:rsid w:val="00520147"/>
    <w:rsid w:val="00524712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A3DB1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1118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95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464D"/>
    <w:rsid w:val="00675217"/>
    <w:rsid w:val="00676020"/>
    <w:rsid w:val="00680A42"/>
    <w:rsid w:val="006811EF"/>
    <w:rsid w:val="00684094"/>
    <w:rsid w:val="00686708"/>
    <w:rsid w:val="00686C02"/>
    <w:rsid w:val="00687E71"/>
    <w:rsid w:val="006903E3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669E7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6E46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36450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906FD"/>
    <w:rsid w:val="008A0C91"/>
    <w:rsid w:val="008A11DD"/>
    <w:rsid w:val="008A33E7"/>
    <w:rsid w:val="008A36F9"/>
    <w:rsid w:val="008A41CB"/>
    <w:rsid w:val="008A4312"/>
    <w:rsid w:val="008A48C0"/>
    <w:rsid w:val="008A497E"/>
    <w:rsid w:val="008A547C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1CD1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3CE3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46E9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5B4"/>
    <w:rsid w:val="00A46B2A"/>
    <w:rsid w:val="00A506D5"/>
    <w:rsid w:val="00A52791"/>
    <w:rsid w:val="00A573B8"/>
    <w:rsid w:val="00A603B8"/>
    <w:rsid w:val="00A61C5C"/>
    <w:rsid w:val="00A640CB"/>
    <w:rsid w:val="00A678C2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0D43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235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D7C72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2EF0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6737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3B7C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6A7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573B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A573B8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573B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A573B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A573B8"/>
  </w:style>
  <w:style w:type="paragraph" w:styleId="a7">
    <w:name w:val="Balloon Text"/>
    <w:basedOn w:val="a0"/>
    <w:semiHidden/>
    <w:rsid w:val="00A573B8"/>
    <w:rPr>
      <w:rFonts w:ascii="Tahoma" w:hAnsi="Tahoma" w:cs="Tahoma"/>
      <w:sz w:val="16"/>
      <w:szCs w:val="16"/>
    </w:rPr>
  </w:style>
  <w:style w:type="character" w:styleId="a8">
    <w:name w:val="Strong"/>
    <w:qFormat/>
    <w:rsid w:val="00A573B8"/>
    <w:rPr>
      <w:b/>
      <w:bCs/>
    </w:rPr>
  </w:style>
  <w:style w:type="paragraph" w:styleId="a9">
    <w:name w:val="Normal (Web)"/>
    <w:basedOn w:val="a0"/>
    <w:uiPriority w:val="99"/>
    <w:rsid w:val="00A573B8"/>
    <w:pPr>
      <w:spacing w:before="100" w:beforeAutospacing="1" w:after="100" w:afterAutospacing="1"/>
    </w:pPr>
  </w:style>
  <w:style w:type="character" w:styleId="aa">
    <w:name w:val="Hyperlink"/>
    <w:uiPriority w:val="99"/>
    <w:rsid w:val="00A573B8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k.ru/group/pfr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vk.com/p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PFRTATARb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3046-FE60-4BE7-BE33-09CA9D58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2172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9</cp:revision>
  <cp:lastPrinted>2021-10-26T06:43:00Z</cp:lastPrinted>
  <dcterms:created xsi:type="dcterms:W3CDTF">2022-03-23T11:28:00Z</dcterms:created>
  <dcterms:modified xsi:type="dcterms:W3CDTF">2022-03-24T10:40:00Z</dcterms:modified>
</cp:coreProperties>
</file>