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Default="00215A47" w:rsidP="00FD49F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72FD" w:rsidRDefault="00A172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2344" w:rsidRDefault="00A1234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2344" w:rsidRDefault="00A1234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FC257D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  <w:lang w:val="tt"/>
        </w:rPr>
        <w:t>Арча р</w:t>
      </w:r>
      <w:bookmarkStart w:id="0" w:name="_GoBack"/>
      <w:bookmarkEnd w:id="0"/>
      <w:r w:rsidRPr="00E21165">
        <w:rPr>
          <w:rFonts w:ascii="Times New Roman" w:eastAsia="Times New Roman" w:hAnsi="Times New Roman" w:cs="Times New Roman"/>
          <w:b/>
          <w:sz w:val="28"/>
          <w:szCs w:val="28"/>
          <w:lang w:val="tt"/>
        </w:rPr>
        <w:t>айон Советы</w:t>
      </w:r>
    </w:p>
    <w:p w:rsidR="00E14D0F" w:rsidRPr="00E21165" w:rsidRDefault="00E14D0F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"/>
        </w:rPr>
        <w:t>КАРАРЫ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940239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3" w:type="dxa"/>
            <w:shd w:val="clear" w:color="auto" w:fill="auto"/>
          </w:tcPr>
          <w:p w:rsidR="00E21165" w:rsidRPr="00E21165" w:rsidRDefault="00FC257D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325C0" w:rsidP="00A0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FC257D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325C0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FC257D" w:rsidP="00A0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2022 ел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FC257D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325C0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172</w:t>
            </w:r>
          </w:p>
        </w:tc>
      </w:tr>
    </w:tbl>
    <w:p w:rsidR="00E21165" w:rsidRPr="00E21165" w:rsidRDefault="00E21165" w:rsidP="00D74697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426"/>
      </w:tblGrid>
      <w:tr w:rsidR="00940239" w:rsidTr="00D74697">
        <w:tc>
          <w:tcPr>
            <w:tcW w:w="817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8930" w:type="dxa"/>
          </w:tcPr>
          <w:p w:rsidR="00E21165" w:rsidRPr="00367EDC" w:rsidRDefault="00367EDC" w:rsidP="0036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7EDC">
              <w:rPr>
                <w:rFonts w:ascii="Times New Roman" w:hAnsi="Times New Roman" w:cs="Times New Roman"/>
                <w:b/>
                <w:sz w:val="28"/>
                <w:szCs w:val="28"/>
                <w:lang w:val="tt"/>
              </w:rPr>
              <w:t>«</w:t>
            </w:r>
            <w:r w:rsidR="00FC257D" w:rsidRPr="00367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"/>
              </w:rPr>
              <w:t>Муниципаль хезмәткәрләргә аттестация үткәрү һәм Арча муниципаль районы муниципаль хезмәткәрләренә класслы чиннар бирү тәртибе турында</w:t>
            </w:r>
            <w:r w:rsidRPr="00367EDC">
              <w:rPr>
                <w:rFonts w:ascii="Times New Roman" w:hAnsi="Times New Roman" w:cs="Times New Roman"/>
                <w:b/>
                <w:sz w:val="28"/>
                <w:szCs w:val="28"/>
                <w:lang w:val="tt"/>
              </w:rPr>
              <w:t>»</w:t>
            </w:r>
            <w:r w:rsidR="00FC257D" w:rsidRPr="00367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"/>
              </w:rPr>
              <w:t xml:space="preserve"> Арча район Советының 2015 елның 24 апрелендәге 331 номерлы карарына үзгәрешләр кертү </w:t>
            </w:r>
            <w:r w:rsidRPr="00367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"/>
              </w:rPr>
              <w:t>хакында</w:t>
            </w:r>
            <w:r w:rsidR="00FC257D" w:rsidRPr="00367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"/>
              </w:rPr>
              <w:t xml:space="preserve"> (10.11.2015 №17,  10.11.2016 №81, 14.03.2020 № 237, 19.09.2019 № 270, 20.05.2020 №329, 16.10.2020 №19, 20.04.2021 №58, 28.04.2022 №140 үзгәрешләр белән) </w:t>
            </w:r>
          </w:p>
        </w:tc>
        <w:tc>
          <w:tcPr>
            <w:tcW w:w="426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D74697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165" w:rsidRPr="00E21165" w:rsidRDefault="00FC257D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муниципаль районының муниципаль хезмәткәрләренә аттестация үткәрү буенча комиссия эшчәнлеген оештыруны камилләштерү, класслы чиннар бирү өчен квалификация имтиханнарын кабул итү максатыннан Арча район Советы КАРАР БИРДЕ:</w:t>
      </w:r>
    </w:p>
    <w:p w:rsidR="00D47B67" w:rsidRDefault="00FC257D" w:rsidP="007075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1.</w:t>
      </w:r>
      <w:r w:rsidR="002721FA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</w:t>
      </w:r>
      <w:r w:rsidR="002721FA">
        <w:rPr>
          <w:rFonts w:ascii="Times New Roman" w:hAnsi="Times New Roman" w:cs="Times New Roman"/>
          <w:sz w:val="28"/>
          <w:szCs w:val="28"/>
          <w:lang w:val="tt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Муниципаль хезмәткәрләргә аттестация үткәрү һәм Арча муниципаль районы муниципаль хезмәткәрләренә класслы чиннар бирү тәртибе турында</w:t>
      </w:r>
      <w:r w:rsidR="00367EDC">
        <w:rPr>
          <w:rFonts w:ascii="Times New Roman" w:hAnsi="Times New Roman" w:cs="Times New Roman"/>
          <w:sz w:val="28"/>
          <w:szCs w:val="28"/>
          <w:lang w:val="tt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Арча район Советының 2015 елның 24 апрелендәге 331 номерлы карарына  (10.11.2015 №17,  10.11.2016 №81, 14.03.2020 № 237, 19.09.2019 № 270, 20.05.2020 №329, 16.10.2020 №19, 20.04.2021 №58, 28.04.2022 №140 үзгәрешләр белән) түбәндәге үзгәрешләрне кертергә:</w:t>
      </w:r>
    </w:p>
    <w:p w:rsidR="00B95768" w:rsidRDefault="00FC257D" w:rsidP="008557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1.1. Муниципаль хезмәткәрләрне аттестацияләү турында нигезләмәнең 3 бүлегенең 14 пунктындагы 4 абзацын яңа редакциядә бәян итәргә:</w:t>
      </w:r>
    </w:p>
    <w:p w:rsidR="00B95768" w:rsidRDefault="00FC257D" w:rsidP="00B95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>«Шул ук вакытта муниципаль хезмәткәрләргә вазыйфаи инструкцияне үтәү нәтиҗәләре, муниципаль хезмәткәрнең һөнәри белеме һәм эш тәҗрибәсе, муниципаль хезмәткәрләр</w:t>
      </w:r>
      <w:r w:rsidR="002721FA">
        <w:rPr>
          <w:rFonts w:ascii="Times New Roman" w:hAnsi="Times New Roman" w:cs="Times New Roman"/>
          <w:sz w:val="28"/>
          <w:szCs w:val="28"/>
          <w:lang w:val="tt"/>
        </w:rPr>
        <w:t>нең чикләүләрне үтәве</w:t>
      </w:r>
      <w:r>
        <w:rPr>
          <w:rFonts w:ascii="Times New Roman" w:hAnsi="Times New Roman" w:cs="Times New Roman"/>
          <w:sz w:val="28"/>
          <w:szCs w:val="28"/>
          <w:lang w:val="tt"/>
        </w:rPr>
        <w:t>, тыюлар</w:t>
      </w:r>
      <w:r w:rsidR="002721FA">
        <w:rPr>
          <w:rFonts w:ascii="Times New Roman" w:hAnsi="Times New Roman" w:cs="Times New Roman"/>
          <w:sz w:val="28"/>
          <w:szCs w:val="28"/>
          <w:lang w:val="tt"/>
        </w:rPr>
        <w:t>ны бозулары булмавы</w:t>
      </w:r>
      <w:r>
        <w:rPr>
          <w:rFonts w:ascii="Times New Roman" w:hAnsi="Times New Roman" w:cs="Times New Roman"/>
          <w:sz w:val="28"/>
          <w:szCs w:val="28"/>
          <w:lang w:val="tt"/>
        </w:rPr>
        <w:t>, муниципаль хезмәт турындагы законнарда билгеләнгән хезмәт тәртибе</w:t>
      </w:r>
      <w:r w:rsidR="002721FA">
        <w:rPr>
          <w:rFonts w:ascii="Times New Roman" w:hAnsi="Times New Roman" w:cs="Times New Roman"/>
          <w:sz w:val="28"/>
          <w:szCs w:val="28"/>
          <w:lang w:val="tt"/>
        </w:rPr>
        <w:t>н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һәм йөкләмәләр</w:t>
      </w:r>
      <w:r w:rsidR="002721FA">
        <w:rPr>
          <w:rFonts w:ascii="Times New Roman" w:hAnsi="Times New Roman" w:cs="Times New Roman"/>
          <w:sz w:val="28"/>
          <w:szCs w:val="28"/>
          <w:lang w:val="tt"/>
        </w:rPr>
        <w:t>не таләпләрен үтәве</w:t>
      </w:r>
      <w:r>
        <w:rPr>
          <w:rFonts w:ascii="Times New Roman" w:hAnsi="Times New Roman" w:cs="Times New Roman"/>
          <w:sz w:val="28"/>
          <w:szCs w:val="28"/>
          <w:lang w:val="tt"/>
        </w:rPr>
        <w:t>, «Кадрларны бәяләү системасы» сервисында тест нәтиҗәләре, ә башка муниципаль хезмәткәрләргә карата оештыру-күрсәтмә вәкаләтләре бирелгән муниципаль хезмәткәрне аттестацияләгәндә шулай ук оештыру сәләте исәпкә алынырга тиеш.»</w:t>
      </w:r>
    </w:p>
    <w:p w:rsidR="00825F2C" w:rsidRDefault="00FC257D" w:rsidP="008A16B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Арча муниципаль районы хезмәткәрләренә </w:t>
      </w:r>
      <w:r w:rsidR="00E26EC6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класслы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чиннар бирү тәртибе турында нигезләмәнең 2 бүлегенең 35 пунктын яңа редакциядә бәян итәргә:</w:t>
      </w:r>
    </w:p>
    <w:p w:rsidR="008A16BA" w:rsidRPr="00E14D0F" w:rsidRDefault="00FC257D" w:rsidP="008A1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>«35. Квалификация имтиханын үткәргәндә комиссия муниципаль хезмәткәрләрнең вазыйфаи инструкцияләре таләпләре, муниципаль хезмәткәрләр башкара торган эшнең катлаулылыгы һәм җаваплылыгы таләпләре</w:t>
      </w:r>
      <w:r w:rsidR="00B04899">
        <w:rPr>
          <w:rFonts w:ascii="Times New Roman" w:hAnsi="Times New Roman" w:cs="Times New Roman"/>
          <w:sz w:val="28"/>
          <w:szCs w:val="28"/>
          <w:lang w:val="tt"/>
        </w:rPr>
        <w:t>нә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</w:t>
      </w:r>
      <w:r w:rsidR="00B04899">
        <w:rPr>
          <w:rFonts w:ascii="Times New Roman" w:hAnsi="Times New Roman" w:cs="Times New Roman"/>
          <w:sz w:val="28"/>
          <w:szCs w:val="28"/>
          <w:lang w:val="tt"/>
        </w:rPr>
        <w:t>яраклаштырып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, федераль законнарга һәм Россия Федерациясенең башка норматив </w:t>
      </w:r>
      <w:r>
        <w:rPr>
          <w:rFonts w:ascii="Times New Roman" w:hAnsi="Times New Roman" w:cs="Times New Roman"/>
          <w:sz w:val="28"/>
          <w:szCs w:val="28"/>
          <w:lang w:val="tt"/>
        </w:rPr>
        <w:lastRenderedPageBreak/>
        <w:t>хокукый актларына каршы килми торган имтихан процедуралары нигезендә, муниципаль хезмәткәрләрнең һөнәри сыйфатларын бәяләү ысулларын кулланып, муници</w:t>
      </w:r>
      <w:r w:rsidR="003A7FFC">
        <w:rPr>
          <w:rFonts w:ascii="Times New Roman" w:hAnsi="Times New Roman" w:cs="Times New Roman"/>
          <w:sz w:val="28"/>
          <w:szCs w:val="28"/>
          <w:lang w:val="tt"/>
        </w:rPr>
        <w:t>паль хезмәткәрләрнең белемнәрен һәм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күнекмәләрен (һөнәри дәрәҗәсен)</w:t>
      </w:r>
      <w:r w:rsidR="00B04899">
        <w:rPr>
          <w:rFonts w:ascii="Times New Roman" w:hAnsi="Times New Roman" w:cs="Times New Roman"/>
          <w:sz w:val="28"/>
          <w:szCs w:val="28"/>
          <w:lang w:val="tt"/>
        </w:rPr>
        <w:t>,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«Кадрларны бәяләү системасы» сервисында </w:t>
      </w:r>
      <w:r w:rsidR="00E14D0F">
        <w:rPr>
          <w:rFonts w:ascii="Times New Roman" w:hAnsi="Times New Roman" w:cs="Times New Roman"/>
          <w:sz w:val="28"/>
          <w:szCs w:val="28"/>
          <w:lang w:val="tt"/>
        </w:rPr>
        <w:t>шәхси әңгәмәне һәм тест алуны</w:t>
      </w:r>
      <w:r w:rsidR="00B04899">
        <w:rPr>
          <w:rFonts w:ascii="Times New Roman" w:hAnsi="Times New Roman" w:cs="Times New Roman"/>
          <w:sz w:val="28"/>
          <w:szCs w:val="28"/>
          <w:lang w:val="tt"/>
        </w:rPr>
        <w:t xml:space="preserve"> да кертеп бәяли.</w:t>
      </w:r>
      <w:r>
        <w:rPr>
          <w:rFonts w:ascii="Times New Roman" w:hAnsi="Times New Roman" w:cs="Times New Roman"/>
          <w:sz w:val="28"/>
          <w:szCs w:val="28"/>
          <w:lang w:val="tt"/>
        </w:rPr>
        <w:t>»</w:t>
      </w:r>
    </w:p>
    <w:p w:rsidR="00E21165" w:rsidRPr="00E14D0F" w:rsidRDefault="00FC257D" w:rsidP="00D74697">
      <w:pPr>
        <w:tabs>
          <w:tab w:val="left" w:pos="1128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2. Әлеге</w:t>
      </w:r>
      <w:r w:rsidR="00E14D0F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карарны Татарстан Республикасы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рәсми хокукый мәгълүмат порталында (pravo.tatarstan.ru) бастырып чыгарырга һәм Арча муниципаль районының рәсми сайтында (arsk.tatarstan.ru) урнаштыру юлы белән халыкка җиткерергә.</w:t>
      </w:r>
    </w:p>
    <w:p w:rsidR="00E21165" w:rsidRPr="00367EDC" w:rsidRDefault="00FC257D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3. Әлеге карар рәсми басылып чыккан көненнән үз көченә керә.</w:t>
      </w:r>
    </w:p>
    <w:p w:rsidR="00E21165" w:rsidRPr="00367EDC" w:rsidRDefault="00FC257D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4. Әлеге карарның үтәлешен тикшереп торуны Арча муниципаль районы башлыгы урынбасарына йөкләргә.</w:t>
      </w:r>
    </w:p>
    <w:p w:rsidR="00E21165" w:rsidRPr="00367EDC" w:rsidRDefault="00E21165" w:rsidP="00A01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"/>
        </w:rPr>
      </w:pPr>
    </w:p>
    <w:p w:rsidR="00F345ED" w:rsidRPr="00367EDC" w:rsidRDefault="00F345ED" w:rsidP="00A01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"/>
        </w:rPr>
      </w:pPr>
    </w:p>
    <w:p w:rsidR="00E21165" w:rsidRPr="00E21165" w:rsidRDefault="00FC257D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муниципаль районы башлыгы,</w:t>
      </w:r>
    </w:p>
    <w:p w:rsidR="007075A7" w:rsidRDefault="00FC257D" w:rsidP="0028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район Советы рәисе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="00E14D0F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                       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И.Г.Н</w:t>
      </w:r>
      <w:r w:rsidR="00E14D0F"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уриев</w:t>
      </w:r>
    </w:p>
    <w:sectPr w:rsidR="007075A7" w:rsidSect="005776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1"/>
    <w:rsid w:val="000A3E83"/>
    <w:rsid w:val="00146498"/>
    <w:rsid w:val="00181B48"/>
    <w:rsid w:val="00185FF5"/>
    <w:rsid w:val="001D539B"/>
    <w:rsid w:val="00215A47"/>
    <w:rsid w:val="00227BE2"/>
    <w:rsid w:val="002721FA"/>
    <w:rsid w:val="00275ADE"/>
    <w:rsid w:val="00280AD7"/>
    <w:rsid w:val="00281D98"/>
    <w:rsid w:val="002C1D55"/>
    <w:rsid w:val="002E360E"/>
    <w:rsid w:val="00367EDC"/>
    <w:rsid w:val="003A7FFC"/>
    <w:rsid w:val="003F0E7B"/>
    <w:rsid w:val="00462A51"/>
    <w:rsid w:val="0047203F"/>
    <w:rsid w:val="004936A7"/>
    <w:rsid w:val="00523A6E"/>
    <w:rsid w:val="00525974"/>
    <w:rsid w:val="00577644"/>
    <w:rsid w:val="005B65CF"/>
    <w:rsid w:val="005C6227"/>
    <w:rsid w:val="007075A7"/>
    <w:rsid w:val="007607D7"/>
    <w:rsid w:val="007D7261"/>
    <w:rsid w:val="00825F2C"/>
    <w:rsid w:val="00840BF7"/>
    <w:rsid w:val="00855719"/>
    <w:rsid w:val="00864EE5"/>
    <w:rsid w:val="008A16BA"/>
    <w:rsid w:val="008B4ABA"/>
    <w:rsid w:val="00940239"/>
    <w:rsid w:val="00A013F2"/>
    <w:rsid w:val="00A12344"/>
    <w:rsid w:val="00A172FD"/>
    <w:rsid w:val="00B04899"/>
    <w:rsid w:val="00B2026A"/>
    <w:rsid w:val="00B45E19"/>
    <w:rsid w:val="00B91F6F"/>
    <w:rsid w:val="00B95768"/>
    <w:rsid w:val="00BC3C34"/>
    <w:rsid w:val="00BC7AF6"/>
    <w:rsid w:val="00BF1D1A"/>
    <w:rsid w:val="00C10FFB"/>
    <w:rsid w:val="00C7766C"/>
    <w:rsid w:val="00C97A52"/>
    <w:rsid w:val="00D0165F"/>
    <w:rsid w:val="00D07AAD"/>
    <w:rsid w:val="00D325C0"/>
    <w:rsid w:val="00D33FBF"/>
    <w:rsid w:val="00D47B67"/>
    <w:rsid w:val="00D74697"/>
    <w:rsid w:val="00D76589"/>
    <w:rsid w:val="00DE04AC"/>
    <w:rsid w:val="00E14D0F"/>
    <w:rsid w:val="00E17A8E"/>
    <w:rsid w:val="00E21165"/>
    <w:rsid w:val="00E26EC6"/>
    <w:rsid w:val="00E55345"/>
    <w:rsid w:val="00F345ED"/>
    <w:rsid w:val="00F74DCD"/>
    <w:rsid w:val="00FC257D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01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01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Секретарь</cp:lastModifiedBy>
  <cp:revision>11</cp:revision>
  <cp:lastPrinted>2022-10-19T06:29:00Z</cp:lastPrinted>
  <dcterms:created xsi:type="dcterms:W3CDTF">2022-10-17T13:55:00Z</dcterms:created>
  <dcterms:modified xsi:type="dcterms:W3CDTF">2022-10-19T06:30:00Z</dcterms:modified>
</cp:coreProperties>
</file>